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70" w:rsidRPr="00104E5A" w:rsidRDefault="00A17878" w:rsidP="00D62402">
      <w:pPr>
        <w:jc w:val="center"/>
        <w:rPr>
          <w:b/>
          <w:sz w:val="20"/>
          <w:szCs w:val="20"/>
          <w:lang w:val="en-GB"/>
        </w:rPr>
      </w:pPr>
      <w:bookmarkStart w:id="0" w:name="_GoBack"/>
      <w:bookmarkEnd w:id="0"/>
      <w:r w:rsidRPr="00104E5A">
        <w:rPr>
          <w:b/>
          <w:sz w:val="20"/>
          <w:szCs w:val="20"/>
          <w:lang w:val="en-GB"/>
        </w:rPr>
        <w:t>Legal Brief 1:</w:t>
      </w:r>
      <w:r w:rsidR="00543AAD" w:rsidRPr="00104E5A">
        <w:rPr>
          <w:b/>
          <w:sz w:val="20"/>
          <w:szCs w:val="20"/>
          <w:lang w:val="en-GB"/>
        </w:rPr>
        <w:t xml:space="preserve"> Outline</w:t>
      </w:r>
      <w:r w:rsidR="00391370" w:rsidRPr="00104E5A">
        <w:rPr>
          <w:b/>
          <w:sz w:val="20"/>
          <w:szCs w:val="20"/>
          <w:lang w:val="en-GB"/>
        </w:rPr>
        <w:t xml:space="preserve"> answer</w:t>
      </w:r>
      <w:r w:rsidRPr="00104E5A">
        <w:rPr>
          <w:b/>
          <w:sz w:val="20"/>
          <w:szCs w:val="20"/>
          <w:lang w:val="en-GB"/>
        </w:rPr>
        <w:t xml:space="preserve"> </w:t>
      </w:r>
    </w:p>
    <w:p w:rsidR="00400B45" w:rsidRPr="00104E5A" w:rsidRDefault="00400B45">
      <w:pPr>
        <w:rPr>
          <w:b/>
          <w:sz w:val="20"/>
          <w:szCs w:val="20"/>
          <w:u w:val="single"/>
          <w:lang w:val="en-GB"/>
        </w:rPr>
      </w:pPr>
      <w:r w:rsidRPr="00104E5A">
        <w:rPr>
          <w:b/>
          <w:sz w:val="20"/>
          <w:szCs w:val="20"/>
          <w:u w:val="single"/>
          <w:lang w:val="en-GB"/>
        </w:rPr>
        <w:t>Part 1:</w:t>
      </w:r>
      <w:r w:rsidR="00080AD6" w:rsidRPr="00104E5A">
        <w:rPr>
          <w:b/>
          <w:sz w:val="20"/>
          <w:szCs w:val="20"/>
          <w:u w:val="single"/>
          <w:lang w:val="en-GB"/>
        </w:rPr>
        <w:t xml:space="preserve"> Free movement of goods</w:t>
      </w:r>
      <w:r w:rsidR="008C0DD2">
        <w:rPr>
          <w:b/>
          <w:sz w:val="20"/>
          <w:szCs w:val="20"/>
          <w:u w:val="single"/>
          <w:lang w:val="en-GB"/>
        </w:rPr>
        <w:t xml:space="preserve"> and Mutual Recognition</w:t>
      </w:r>
    </w:p>
    <w:p w:rsidR="00400B45" w:rsidRPr="00104E5A" w:rsidRDefault="00400B45" w:rsidP="00400B45">
      <w:pPr>
        <w:pBdr>
          <w:top w:val="single" w:sz="4" w:space="1" w:color="auto"/>
          <w:left w:val="single" w:sz="4" w:space="4" w:color="auto"/>
          <w:bottom w:val="single" w:sz="4" w:space="1" w:color="auto"/>
          <w:right w:val="single" w:sz="4" w:space="4" w:color="auto"/>
        </w:pBdr>
        <w:jc w:val="both"/>
        <w:rPr>
          <w:sz w:val="20"/>
          <w:szCs w:val="20"/>
          <w:lang w:val="en-GB"/>
        </w:rPr>
      </w:pPr>
      <w:r w:rsidRPr="00104E5A">
        <w:rPr>
          <w:sz w:val="20"/>
          <w:szCs w:val="20"/>
          <w:lang w:val="en-GB"/>
        </w:rPr>
        <w:t>If the Spanish government decides to legislate on this issue, can it adopt a national law which mandates the following:</w:t>
      </w:r>
    </w:p>
    <w:p w:rsidR="00400B45" w:rsidRPr="00104E5A" w:rsidRDefault="00400B45" w:rsidP="00400B45">
      <w:pPr>
        <w:pBdr>
          <w:top w:val="single" w:sz="4" w:space="1" w:color="auto"/>
          <w:left w:val="single" w:sz="4" w:space="4" w:color="auto"/>
          <w:bottom w:val="single" w:sz="4" w:space="1" w:color="auto"/>
          <w:right w:val="single" w:sz="4" w:space="4" w:color="auto"/>
        </w:pBdr>
        <w:jc w:val="both"/>
        <w:rPr>
          <w:i/>
          <w:sz w:val="20"/>
          <w:szCs w:val="20"/>
          <w:lang w:val="en-GB"/>
        </w:rPr>
      </w:pPr>
      <w:r w:rsidRPr="00104E5A">
        <w:rPr>
          <w:i/>
          <w:sz w:val="20"/>
          <w:szCs w:val="20"/>
          <w:lang w:val="en-GB"/>
        </w:rPr>
        <w:t>All meat products marketed as “</w:t>
      </w:r>
      <w:proofErr w:type="spellStart"/>
      <w:r w:rsidRPr="00104E5A">
        <w:rPr>
          <w:i/>
          <w:sz w:val="20"/>
          <w:szCs w:val="20"/>
          <w:lang w:val="en-GB"/>
        </w:rPr>
        <w:t>Jamón</w:t>
      </w:r>
      <w:proofErr w:type="spellEnd"/>
      <w:r w:rsidRPr="00104E5A">
        <w:rPr>
          <w:i/>
          <w:sz w:val="20"/>
          <w:szCs w:val="20"/>
          <w:lang w:val="en-GB"/>
        </w:rPr>
        <w:t xml:space="preserve"> de bellota (acorn ham)” must derive exclusively from animals slaughtered immediately after fattening exclusively with acorns, grass and other natural resources found in oak forests.</w:t>
      </w:r>
    </w:p>
    <w:p w:rsidR="00400B45" w:rsidRPr="00104E5A" w:rsidRDefault="00400B45" w:rsidP="00400B45">
      <w:pPr>
        <w:pBdr>
          <w:top w:val="single" w:sz="4" w:space="1" w:color="auto"/>
          <w:left w:val="single" w:sz="4" w:space="4" w:color="auto"/>
          <w:bottom w:val="single" w:sz="4" w:space="1" w:color="auto"/>
          <w:right w:val="single" w:sz="4" w:space="4" w:color="auto"/>
        </w:pBdr>
        <w:jc w:val="both"/>
        <w:rPr>
          <w:sz w:val="20"/>
          <w:szCs w:val="20"/>
          <w:lang w:val="en-GB"/>
        </w:rPr>
      </w:pPr>
      <w:r w:rsidRPr="00104E5A">
        <w:rPr>
          <w:sz w:val="20"/>
          <w:szCs w:val="20"/>
          <w:lang w:val="en-GB"/>
        </w:rPr>
        <w:t xml:space="preserve">The producers association argues that this provision hinders free movements of goods in the European Union. Are they right? We are not very familiar with EU law, so please care to explain what the legal base is. </w:t>
      </w:r>
      <w:r w:rsidR="001B0F10" w:rsidRPr="001B0F10">
        <w:rPr>
          <w:b/>
          <w:color w:val="4472C4" w:themeColor="accent1"/>
          <w:sz w:val="20"/>
          <w:szCs w:val="20"/>
          <w:lang w:val="en-GB"/>
        </w:rPr>
        <w:t>(free movement of goods)</w:t>
      </w:r>
    </w:p>
    <w:p w:rsidR="00400B45" w:rsidRPr="00104E5A" w:rsidRDefault="00400B45" w:rsidP="00400B45">
      <w:pPr>
        <w:pBdr>
          <w:top w:val="single" w:sz="4" w:space="1" w:color="auto"/>
          <w:left w:val="single" w:sz="4" w:space="4" w:color="auto"/>
          <w:bottom w:val="single" w:sz="4" w:space="1" w:color="auto"/>
          <w:right w:val="single" w:sz="4" w:space="4" w:color="auto"/>
        </w:pBdr>
        <w:jc w:val="both"/>
        <w:rPr>
          <w:sz w:val="20"/>
          <w:szCs w:val="20"/>
          <w:lang w:val="en-GB"/>
        </w:rPr>
      </w:pPr>
      <w:r w:rsidRPr="00104E5A">
        <w:rPr>
          <w:sz w:val="20"/>
          <w:szCs w:val="20"/>
          <w:lang w:val="en-GB"/>
        </w:rPr>
        <w:t>If they are right, how can we improve the draft so that it complies with TFUE? Please argue your position and provide detailed legal base supporting your argument</w:t>
      </w:r>
      <w:r w:rsidRPr="001B0F10">
        <w:rPr>
          <w:sz w:val="20"/>
          <w:szCs w:val="20"/>
          <w:lang w:val="en-GB"/>
        </w:rPr>
        <w:t>.</w:t>
      </w:r>
      <w:r w:rsidR="001B0F10" w:rsidRPr="001B0F10">
        <w:rPr>
          <w:b/>
          <w:sz w:val="20"/>
          <w:szCs w:val="20"/>
          <w:lang w:val="en-GB"/>
        </w:rPr>
        <w:t xml:space="preserve"> </w:t>
      </w:r>
      <w:r w:rsidR="001B0F10" w:rsidRPr="001B0F10">
        <w:rPr>
          <w:b/>
          <w:color w:val="4472C4" w:themeColor="accent1"/>
          <w:sz w:val="20"/>
          <w:szCs w:val="20"/>
          <w:lang w:val="en-GB"/>
        </w:rPr>
        <w:t>(mutual recognition)</w:t>
      </w:r>
    </w:p>
    <w:p w:rsidR="00400B45" w:rsidRPr="00104E5A" w:rsidRDefault="00400B45" w:rsidP="00400B45">
      <w:pPr>
        <w:rPr>
          <w:b/>
          <w:sz w:val="20"/>
          <w:szCs w:val="20"/>
          <w:lang w:val="en-GB"/>
        </w:rPr>
      </w:pPr>
      <w:r w:rsidRPr="00104E5A">
        <w:rPr>
          <w:b/>
          <w:sz w:val="20"/>
          <w:szCs w:val="20"/>
          <w:lang w:val="en-GB"/>
        </w:rPr>
        <w:t xml:space="preserve">Issue: </w:t>
      </w:r>
    </w:p>
    <w:p w:rsidR="00400B45" w:rsidRPr="00BD3AC1" w:rsidRDefault="00400B45" w:rsidP="00400B45">
      <w:pPr>
        <w:jc w:val="both"/>
        <w:rPr>
          <w:sz w:val="20"/>
          <w:szCs w:val="20"/>
          <w:lang w:val="en-GB"/>
        </w:rPr>
      </w:pPr>
      <w:r w:rsidRPr="00BD3AC1">
        <w:rPr>
          <w:sz w:val="20"/>
          <w:szCs w:val="20"/>
          <w:lang w:val="en-GB"/>
        </w:rPr>
        <w:t>The team has researched and describes the issue:</w:t>
      </w:r>
    </w:p>
    <w:p w:rsidR="00400B45" w:rsidRPr="00BD3AC1" w:rsidRDefault="00400B45" w:rsidP="00400B45">
      <w:pPr>
        <w:widowControl w:val="0"/>
        <w:numPr>
          <w:ilvl w:val="0"/>
          <w:numId w:val="2"/>
        </w:numPr>
        <w:suppressAutoHyphens/>
        <w:spacing w:after="0" w:line="240" w:lineRule="auto"/>
        <w:jc w:val="both"/>
        <w:rPr>
          <w:sz w:val="20"/>
          <w:szCs w:val="20"/>
          <w:lang w:val="en-GB"/>
        </w:rPr>
      </w:pPr>
      <w:r w:rsidRPr="00BD3AC1">
        <w:rPr>
          <w:sz w:val="20"/>
          <w:szCs w:val="20"/>
          <w:lang w:val="en-GB"/>
        </w:rPr>
        <w:t xml:space="preserve">Member State (Spain) is considering to adopt national legislation regulating foods marketed as </w:t>
      </w:r>
      <w:proofErr w:type="spellStart"/>
      <w:r w:rsidRPr="00BD3AC1">
        <w:rPr>
          <w:i/>
          <w:sz w:val="20"/>
          <w:szCs w:val="20"/>
          <w:lang w:val="en-GB"/>
        </w:rPr>
        <w:t>jamón</w:t>
      </w:r>
      <w:proofErr w:type="spellEnd"/>
      <w:r w:rsidRPr="00BD3AC1">
        <w:rPr>
          <w:i/>
          <w:sz w:val="20"/>
          <w:szCs w:val="20"/>
          <w:lang w:val="en-GB"/>
        </w:rPr>
        <w:t xml:space="preserve"> de bellota</w:t>
      </w:r>
      <w:r w:rsidRPr="00BD3AC1">
        <w:rPr>
          <w:sz w:val="20"/>
          <w:szCs w:val="20"/>
          <w:lang w:val="en-GB"/>
        </w:rPr>
        <w:t xml:space="preserve"> (acorn ham).</w:t>
      </w:r>
    </w:p>
    <w:p w:rsidR="00400B45" w:rsidRPr="00BD3AC1" w:rsidRDefault="00400B45" w:rsidP="00400B45">
      <w:pPr>
        <w:widowControl w:val="0"/>
        <w:numPr>
          <w:ilvl w:val="0"/>
          <w:numId w:val="2"/>
        </w:numPr>
        <w:suppressAutoHyphens/>
        <w:spacing w:after="0" w:line="240" w:lineRule="auto"/>
        <w:jc w:val="both"/>
        <w:rPr>
          <w:sz w:val="20"/>
          <w:szCs w:val="20"/>
          <w:lang w:val="en-GB"/>
        </w:rPr>
      </w:pPr>
      <w:r w:rsidRPr="00BD3AC1">
        <w:rPr>
          <w:sz w:val="20"/>
          <w:szCs w:val="20"/>
          <w:lang w:val="en-GB"/>
        </w:rPr>
        <w:t xml:space="preserve">Only those foods that derive from animals slaughtered immediately after fattening exclusively with acorns, grass and other natural resources found in oak forests can be marketed as </w:t>
      </w:r>
      <w:proofErr w:type="spellStart"/>
      <w:r w:rsidRPr="00BD3AC1">
        <w:rPr>
          <w:i/>
          <w:sz w:val="20"/>
          <w:szCs w:val="20"/>
          <w:lang w:val="en-GB"/>
        </w:rPr>
        <w:t>jamon</w:t>
      </w:r>
      <w:proofErr w:type="spellEnd"/>
      <w:r w:rsidRPr="00BD3AC1">
        <w:rPr>
          <w:i/>
          <w:sz w:val="20"/>
          <w:szCs w:val="20"/>
          <w:lang w:val="en-GB"/>
        </w:rPr>
        <w:t xml:space="preserve"> de bellota</w:t>
      </w:r>
      <w:r w:rsidRPr="00BD3AC1">
        <w:rPr>
          <w:sz w:val="20"/>
          <w:szCs w:val="20"/>
          <w:lang w:val="en-GB"/>
        </w:rPr>
        <w:t>.</w:t>
      </w:r>
    </w:p>
    <w:p w:rsidR="00400B45" w:rsidRPr="00BD3AC1" w:rsidRDefault="00400B45" w:rsidP="00400B45">
      <w:pPr>
        <w:widowControl w:val="0"/>
        <w:numPr>
          <w:ilvl w:val="0"/>
          <w:numId w:val="2"/>
        </w:numPr>
        <w:suppressAutoHyphens/>
        <w:spacing w:after="0" w:line="240" w:lineRule="auto"/>
        <w:jc w:val="both"/>
        <w:rPr>
          <w:sz w:val="20"/>
          <w:szCs w:val="20"/>
          <w:lang w:val="en-GB"/>
        </w:rPr>
      </w:pPr>
      <w:r w:rsidRPr="00BD3AC1">
        <w:rPr>
          <w:sz w:val="20"/>
          <w:szCs w:val="20"/>
          <w:lang w:val="en-GB"/>
        </w:rPr>
        <w:t xml:space="preserve">The current draft would apply to those foods to be sold in Spain, regardless of their origin. </w:t>
      </w:r>
    </w:p>
    <w:p w:rsidR="00400B45" w:rsidRPr="00BD3AC1" w:rsidRDefault="00400B45" w:rsidP="00400B45">
      <w:pPr>
        <w:widowControl w:val="0"/>
        <w:numPr>
          <w:ilvl w:val="0"/>
          <w:numId w:val="2"/>
        </w:numPr>
        <w:suppressAutoHyphens/>
        <w:spacing w:after="0" w:line="240" w:lineRule="auto"/>
        <w:jc w:val="both"/>
        <w:rPr>
          <w:sz w:val="20"/>
          <w:szCs w:val="20"/>
          <w:lang w:val="en-GB"/>
        </w:rPr>
      </w:pPr>
      <w:r w:rsidRPr="00BD3AC1">
        <w:rPr>
          <w:sz w:val="20"/>
          <w:szCs w:val="20"/>
          <w:lang w:val="en-GB"/>
        </w:rPr>
        <w:t xml:space="preserve">Argument in favour from consumer organizations: Traditionally, in Spain, only the ham derived from this kind of fattening has been considered as </w:t>
      </w:r>
      <w:proofErr w:type="spellStart"/>
      <w:r w:rsidRPr="00BD3AC1">
        <w:rPr>
          <w:sz w:val="20"/>
          <w:szCs w:val="20"/>
          <w:lang w:val="en-GB"/>
        </w:rPr>
        <w:t>jamón</w:t>
      </w:r>
      <w:proofErr w:type="spellEnd"/>
      <w:r w:rsidRPr="00BD3AC1">
        <w:rPr>
          <w:sz w:val="20"/>
          <w:szCs w:val="20"/>
          <w:lang w:val="en-GB"/>
        </w:rPr>
        <w:t xml:space="preserve"> </w:t>
      </w:r>
      <w:proofErr w:type="spellStart"/>
      <w:r w:rsidRPr="00BD3AC1">
        <w:rPr>
          <w:sz w:val="20"/>
          <w:szCs w:val="20"/>
          <w:lang w:val="en-GB"/>
        </w:rPr>
        <w:t>ibérico</w:t>
      </w:r>
      <w:proofErr w:type="spellEnd"/>
      <w:r w:rsidRPr="00BD3AC1">
        <w:rPr>
          <w:sz w:val="20"/>
          <w:szCs w:val="20"/>
          <w:lang w:val="en-GB"/>
        </w:rPr>
        <w:t xml:space="preserve">. </w:t>
      </w:r>
      <w:r w:rsidR="00696B55" w:rsidRPr="00BD3AC1">
        <w:rPr>
          <w:sz w:val="20"/>
          <w:szCs w:val="20"/>
          <w:lang w:val="en-GB"/>
        </w:rPr>
        <w:t xml:space="preserve">It is a gourmet expensive food product. </w:t>
      </w:r>
      <w:r w:rsidRPr="00BD3AC1">
        <w:rPr>
          <w:sz w:val="20"/>
          <w:szCs w:val="20"/>
          <w:lang w:val="en-GB"/>
        </w:rPr>
        <w:t xml:space="preserve">However, lack of regulation has made it so that other kinds of ham use that name even if they are not derived from </w:t>
      </w:r>
      <w:proofErr w:type="spellStart"/>
      <w:r w:rsidR="00696B55" w:rsidRPr="00BD3AC1">
        <w:rPr>
          <w:sz w:val="20"/>
          <w:szCs w:val="20"/>
          <w:lang w:val="en-GB"/>
        </w:rPr>
        <w:t>porks</w:t>
      </w:r>
      <w:proofErr w:type="spellEnd"/>
      <w:r w:rsidR="00696B55" w:rsidRPr="00BD3AC1">
        <w:rPr>
          <w:sz w:val="20"/>
          <w:szCs w:val="20"/>
          <w:lang w:val="en-GB"/>
        </w:rPr>
        <w:t xml:space="preserve"> that have been fattening with acorns in oak forests. Most </w:t>
      </w:r>
      <w:proofErr w:type="spellStart"/>
      <w:r w:rsidR="00696B55" w:rsidRPr="00BD3AC1">
        <w:rPr>
          <w:sz w:val="20"/>
          <w:szCs w:val="20"/>
          <w:lang w:val="en-GB"/>
        </w:rPr>
        <w:t>jamón</w:t>
      </w:r>
      <w:proofErr w:type="spellEnd"/>
      <w:r w:rsidR="00696B55" w:rsidRPr="00BD3AC1">
        <w:rPr>
          <w:sz w:val="20"/>
          <w:szCs w:val="20"/>
          <w:lang w:val="en-GB"/>
        </w:rPr>
        <w:t xml:space="preserve"> </w:t>
      </w:r>
      <w:proofErr w:type="spellStart"/>
      <w:r w:rsidR="00696B55" w:rsidRPr="00BD3AC1">
        <w:rPr>
          <w:sz w:val="20"/>
          <w:szCs w:val="20"/>
          <w:lang w:val="en-GB"/>
        </w:rPr>
        <w:t>ibérico</w:t>
      </w:r>
      <w:proofErr w:type="spellEnd"/>
      <w:r w:rsidR="00696B55" w:rsidRPr="00BD3AC1">
        <w:rPr>
          <w:sz w:val="20"/>
          <w:szCs w:val="20"/>
          <w:lang w:val="en-GB"/>
        </w:rPr>
        <w:t xml:space="preserve"> are of low quality, do not meet the </w:t>
      </w:r>
      <w:proofErr w:type="spellStart"/>
      <w:r w:rsidR="00696B55" w:rsidRPr="00BD3AC1">
        <w:rPr>
          <w:sz w:val="20"/>
          <w:szCs w:val="20"/>
          <w:lang w:val="en-GB"/>
        </w:rPr>
        <w:t>spanish</w:t>
      </w:r>
      <w:proofErr w:type="spellEnd"/>
      <w:r w:rsidR="00696B55" w:rsidRPr="00BD3AC1">
        <w:rPr>
          <w:sz w:val="20"/>
          <w:szCs w:val="20"/>
          <w:lang w:val="en-GB"/>
        </w:rPr>
        <w:t xml:space="preserve"> consumers expectations. </w:t>
      </w:r>
    </w:p>
    <w:p w:rsidR="00696B55" w:rsidRPr="00BD3AC1" w:rsidRDefault="00696B55" w:rsidP="00400B45">
      <w:pPr>
        <w:widowControl w:val="0"/>
        <w:numPr>
          <w:ilvl w:val="0"/>
          <w:numId w:val="2"/>
        </w:numPr>
        <w:suppressAutoHyphens/>
        <w:spacing w:after="0" w:line="240" w:lineRule="auto"/>
        <w:jc w:val="both"/>
        <w:rPr>
          <w:sz w:val="20"/>
          <w:szCs w:val="20"/>
          <w:lang w:val="en-GB"/>
        </w:rPr>
      </w:pPr>
      <w:r w:rsidRPr="00BD3AC1">
        <w:rPr>
          <w:sz w:val="20"/>
          <w:szCs w:val="20"/>
          <w:lang w:val="en-GB"/>
        </w:rPr>
        <w:t>Argument against from producers: it hinders free movement of goods.</w:t>
      </w:r>
    </w:p>
    <w:p w:rsidR="00400B45" w:rsidRPr="00BD3AC1" w:rsidRDefault="00400B45" w:rsidP="00400B45">
      <w:pPr>
        <w:jc w:val="both"/>
        <w:rPr>
          <w:sz w:val="20"/>
          <w:szCs w:val="20"/>
          <w:lang w:val="en-GB"/>
        </w:rPr>
      </w:pPr>
    </w:p>
    <w:p w:rsidR="00400B45" w:rsidRPr="00BD3AC1" w:rsidRDefault="00400B45" w:rsidP="00400B45">
      <w:pPr>
        <w:jc w:val="both"/>
        <w:rPr>
          <w:sz w:val="20"/>
          <w:szCs w:val="20"/>
          <w:lang w:val="en-GB"/>
        </w:rPr>
      </w:pPr>
      <w:r w:rsidRPr="00BD3AC1">
        <w:rPr>
          <w:sz w:val="20"/>
          <w:szCs w:val="20"/>
          <w:lang w:val="en-GB"/>
        </w:rPr>
        <w:t xml:space="preserve">The team identifies the goal of the </w:t>
      </w:r>
      <w:r w:rsidR="00696B55" w:rsidRPr="00BD3AC1">
        <w:rPr>
          <w:sz w:val="20"/>
          <w:szCs w:val="20"/>
          <w:lang w:val="en-GB"/>
        </w:rPr>
        <w:t>Spanish</w:t>
      </w:r>
      <w:r w:rsidRPr="00BD3AC1">
        <w:rPr>
          <w:sz w:val="20"/>
          <w:szCs w:val="20"/>
          <w:lang w:val="en-GB"/>
        </w:rPr>
        <w:t xml:space="preserve"> regulation:</w:t>
      </w:r>
    </w:p>
    <w:p w:rsidR="00400B45" w:rsidRPr="00104E5A" w:rsidRDefault="00400B45" w:rsidP="00400B45">
      <w:pPr>
        <w:widowControl w:val="0"/>
        <w:numPr>
          <w:ilvl w:val="0"/>
          <w:numId w:val="3"/>
        </w:numPr>
        <w:suppressAutoHyphens/>
        <w:spacing w:after="0" w:line="240" w:lineRule="auto"/>
        <w:jc w:val="both"/>
        <w:rPr>
          <w:sz w:val="20"/>
          <w:szCs w:val="20"/>
        </w:rPr>
      </w:pPr>
      <w:r w:rsidRPr="00BD3AC1">
        <w:rPr>
          <w:sz w:val="20"/>
          <w:szCs w:val="20"/>
          <w:lang w:val="en-GB"/>
        </w:rPr>
        <w:t xml:space="preserve">General goal is to </w:t>
      </w:r>
      <w:r w:rsidR="00696B55" w:rsidRPr="00BD3AC1">
        <w:rPr>
          <w:sz w:val="20"/>
          <w:szCs w:val="20"/>
          <w:lang w:val="en-GB"/>
        </w:rPr>
        <w:t xml:space="preserve">increase the quality of food products marketed as </w:t>
      </w:r>
      <w:proofErr w:type="spellStart"/>
      <w:r w:rsidR="00696B55" w:rsidRPr="00BD3AC1">
        <w:rPr>
          <w:sz w:val="20"/>
          <w:szCs w:val="20"/>
          <w:lang w:val="en-GB"/>
        </w:rPr>
        <w:t>jamon</w:t>
      </w:r>
      <w:proofErr w:type="spellEnd"/>
      <w:r w:rsidR="00696B55" w:rsidRPr="00BD3AC1">
        <w:rPr>
          <w:sz w:val="20"/>
          <w:szCs w:val="20"/>
          <w:lang w:val="en-GB"/>
        </w:rPr>
        <w:t xml:space="preserve"> </w:t>
      </w:r>
      <w:proofErr w:type="spellStart"/>
      <w:r w:rsidR="00696B55" w:rsidRPr="00BD3AC1">
        <w:rPr>
          <w:sz w:val="20"/>
          <w:szCs w:val="20"/>
          <w:lang w:val="en-GB"/>
        </w:rPr>
        <w:t>iberico</w:t>
      </w:r>
      <w:proofErr w:type="spellEnd"/>
      <w:r w:rsidR="00696B55" w:rsidRPr="00BD3AC1">
        <w:rPr>
          <w:sz w:val="20"/>
          <w:szCs w:val="20"/>
          <w:lang w:val="en-GB"/>
        </w:rPr>
        <w:t xml:space="preserve"> so that it meets (</w:t>
      </w:r>
      <w:proofErr w:type="spellStart"/>
      <w:r w:rsidR="00696B55" w:rsidRPr="00BD3AC1">
        <w:rPr>
          <w:sz w:val="20"/>
          <w:szCs w:val="20"/>
          <w:lang w:val="en-GB"/>
        </w:rPr>
        <w:t>spanish</w:t>
      </w:r>
      <w:proofErr w:type="spellEnd"/>
      <w:r w:rsidR="00696B55" w:rsidRPr="00BD3AC1">
        <w:rPr>
          <w:sz w:val="20"/>
          <w:szCs w:val="20"/>
          <w:lang w:val="en-GB"/>
        </w:rPr>
        <w:t xml:space="preserve">) consumers expectations. </w:t>
      </w:r>
      <w:proofErr w:type="spellStart"/>
      <w:r w:rsidR="00696B55" w:rsidRPr="00104E5A">
        <w:rPr>
          <w:sz w:val="20"/>
          <w:szCs w:val="20"/>
        </w:rPr>
        <w:t>So</w:t>
      </w:r>
      <w:proofErr w:type="spellEnd"/>
      <w:r w:rsidR="00696B55" w:rsidRPr="00104E5A">
        <w:rPr>
          <w:sz w:val="20"/>
          <w:szCs w:val="20"/>
        </w:rPr>
        <w:t xml:space="preserve">: </w:t>
      </w:r>
      <w:proofErr w:type="spellStart"/>
      <w:r w:rsidR="00696B55" w:rsidRPr="00104E5A">
        <w:rPr>
          <w:sz w:val="20"/>
          <w:szCs w:val="20"/>
        </w:rPr>
        <w:t>protection</w:t>
      </w:r>
      <w:proofErr w:type="spellEnd"/>
      <w:r w:rsidR="00696B55" w:rsidRPr="00104E5A">
        <w:rPr>
          <w:sz w:val="20"/>
          <w:szCs w:val="20"/>
        </w:rPr>
        <w:t xml:space="preserve"> of </w:t>
      </w:r>
      <w:proofErr w:type="spellStart"/>
      <w:r w:rsidR="00696B55" w:rsidRPr="00104E5A">
        <w:rPr>
          <w:sz w:val="20"/>
          <w:szCs w:val="20"/>
        </w:rPr>
        <w:t>consumers</w:t>
      </w:r>
      <w:proofErr w:type="spellEnd"/>
      <w:r w:rsidR="00696B55" w:rsidRPr="00104E5A">
        <w:rPr>
          <w:sz w:val="20"/>
          <w:szCs w:val="20"/>
        </w:rPr>
        <w:t xml:space="preserve"> </w:t>
      </w:r>
      <w:proofErr w:type="spellStart"/>
      <w:r w:rsidR="00696B55" w:rsidRPr="00104E5A">
        <w:rPr>
          <w:sz w:val="20"/>
          <w:szCs w:val="20"/>
        </w:rPr>
        <w:t>interest</w:t>
      </w:r>
      <w:proofErr w:type="spellEnd"/>
      <w:r w:rsidR="00696B55" w:rsidRPr="00104E5A">
        <w:rPr>
          <w:sz w:val="20"/>
          <w:szCs w:val="20"/>
        </w:rPr>
        <w:t xml:space="preserve"> (</w:t>
      </w:r>
      <w:proofErr w:type="spellStart"/>
      <w:r w:rsidR="00696B55" w:rsidRPr="00104E5A">
        <w:rPr>
          <w:sz w:val="20"/>
          <w:szCs w:val="20"/>
        </w:rPr>
        <w:t>not</w:t>
      </w:r>
      <w:proofErr w:type="spellEnd"/>
      <w:r w:rsidR="00696B55" w:rsidRPr="00104E5A">
        <w:rPr>
          <w:sz w:val="20"/>
          <w:szCs w:val="20"/>
        </w:rPr>
        <w:t xml:space="preserve"> </w:t>
      </w:r>
      <w:proofErr w:type="spellStart"/>
      <w:r w:rsidR="00696B55" w:rsidRPr="00104E5A">
        <w:rPr>
          <w:sz w:val="20"/>
          <w:szCs w:val="20"/>
        </w:rPr>
        <w:t>health</w:t>
      </w:r>
      <w:proofErr w:type="spellEnd"/>
      <w:r w:rsidR="00696B55" w:rsidRPr="00104E5A">
        <w:rPr>
          <w:sz w:val="20"/>
          <w:szCs w:val="20"/>
        </w:rPr>
        <w:t xml:space="preserve">). </w:t>
      </w:r>
    </w:p>
    <w:p w:rsidR="00696B55" w:rsidRPr="00104E5A" w:rsidRDefault="00696B55" w:rsidP="00400B45">
      <w:pPr>
        <w:widowControl w:val="0"/>
        <w:numPr>
          <w:ilvl w:val="0"/>
          <w:numId w:val="3"/>
        </w:numPr>
        <w:suppressAutoHyphens/>
        <w:spacing w:after="0" w:line="240" w:lineRule="auto"/>
        <w:jc w:val="both"/>
        <w:rPr>
          <w:sz w:val="20"/>
          <w:szCs w:val="20"/>
        </w:rPr>
      </w:pPr>
      <w:r w:rsidRPr="00BD3AC1">
        <w:rPr>
          <w:sz w:val="20"/>
          <w:szCs w:val="20"/>
          <w:lang w:val="en-GB"/>
        </w:rPr>
        <w:t xml:space="preserve">An argument can also be made on health if a student asks: it is a product that always has some fat, but the lower the quality the more fat it has (see pictures </w:t>
      </w:r>
      <w:proofErr w:type="spellStart"/>
      <w:r w:rsidRPr="00BD3AC1">
        <w:rPr>
          <w:sz w:val="20"/>
          <w:szCs w:val="20"/>
          <w:lang w:val="en-GB"/>
        </w:rPr>
        <w:t>bellow</w:t>
      </w:r>
      <w:proofErr w:type="spellEnd"/>
      <w:r w:rsidRPr="00BD3AC1">
        <w:rPr>
          <w:sz w:val="20"/>
          <w:szCs w:val="20"/>
          <w:lang w:val="en-GB"/>
        </w:rPr>
        <w:t>).</w:t>
      </w:r>
      <w:r w:rsidR="002D3CAA" w:rsidRPr="00BD3AC1">
        <w:rPr>
          <w:sz w:val="20"/>
          <w:szCs w:val="20"/>
          <w:lang w:val="en-GB"/>
        </w:rPr>
        <w:t xml:space="preserve"> </w:t>
      </w:r>
      <w:r w:rsidR="008A46B1">
        <w:rPr>
          <w:sz w:val="20"/>
          <w:szCs w:val="20"/>
          <w:lang w:val="en-GB"/>
        </w:rPr>
        <w:t>(</w:t>
      </w:r>
      <w:r w:rsidR="002D3CAA" w:rsidRPr="00104E5A">
        <w:rPr>
          <w:sz w:val="20"/>
          <w:szCs w:val="20"/>
        </w:rPr>
        <w:t xml:space="preserve">In </w:t>
      </w:r>
      <w:proofErr w:type="spellStart"/>
      <w:r w:rsidR="002D3CAA" w:rsidRPr="00104E5A">
        <w:rPr>
          <w:sz w:val="20"/>
          <w:szCs w:val="20"/>
        </w:rPr>
        <w:t>good</w:t>
      </w:r>
      <w:proofErr w:type="spellEnd"/>
      <w:r w:rsidR="002D3CAA" w:rsidRPr="00104E5A">
        <w:rPr>
          <w:sz w:val="20"/>
          <w:szCs w:val="20"/>
        </w:rPr>
        <w:t xml:space="preserve"> ibérico, </w:t>
      </w:r>
      <w:proofErr w:type="spellStart"/>
      <w:r w:rsidR="002D3CAA" w:rsidRPr="00104E5A">
        <w:rPr>
          <w:sz w:val="20"/>
          <w:szCs w:val="20"/>
        </w:rPr>
        <w:t>you</w:t>
      </w:r>
      <w:proofErr w:type="spellEnd"/>
      <w:r w:rsidR="002D3CAA" w:rsidRPr="00104E5A">
        <w:rPr>
          <w:sz w:val="20"/>
          <w:szCs w:val="20"/>
        </w:rPr>
        <w:t xml:space="preserve"> </w:t>
      </w:r>
      <w:proofErr w:type="spellStart"/>
      <w:r w:rsidR="002D3CAA" w:rsidRPr="00104E5A">
        <w:rPr>
          <w:sz w:val="20"/>
          <w:szCs w:val="20"/>
        </w:rPr>
        <w:t>actually</w:t>
      </w:r>
      <w:proofErr w:type="spellEnd"/>
      <w:r w:rsidR="002D3CAA" w:rsidRPr="00104E5A">
        <w:rPr>
          <w:sz w:val="20"/>
          <w:szCs w:val="20"/>
        </w:rPr>
        <w:t xml:space="preserve"> </w:t>
      </w:r>
      <w:proofErr w:type="spellStart"/>
      <w:r w:rsidR="002D3CAA" w:rsidRPr="00104E5A">
        <w:rPr>
          <w:sz w:val="20"/>
          <w:szCs w:val="20"/>
        </w:rPr>
        <w:t>eat</w:t>
      </w:r>
      <w:proofErr w:type="spellEnd"/>
      <w:r w:rsidR="002D3CAA" w:rsidRPr="00104E5A">
        <w:rPr>
          <w:sz w:val="20"/>
          <w:szCs w:val="20"/>
        </w:rPr>
        <w:t xml:space="preserve"> the </w:t>
      </w:r>
      <w:proofErr w:type="spellStart"/>
      <w:r w:rsidR="002D3CAA" w:rsidRPr="00104E5A">
        <w:rPr>
          <w:sz w:val="20"/>
          <w:szCs w:val="20"/>
        </w:rPr>
        <w:t>fat</w:t>
      </w:r>
      <w:proofErr w:type="spellEnd"/>
      <w:r w:rsidR="002D3CAA" w:rsidRPr="00104E5A">
        <w:rPr>
          <w:sz w:val="20"/>
          <w:szCs w:val="20"/>
        </w:rPr>
        <w:t>.</w:t>
      </w:r>
      <w:r w:rsidR="008A46B1">
        <w:rPr>
          <w:sz w:val="20"/>
          <w:szCs w:val="20"/>
        </w:rPr>
        <w:t>)</w:t>
      </w:r>
    </w:p>
    <w:p w:rsidR="00696B55" w:rsidRPr="00104E5A" w:rsidRDefault="00696B55" w:rsidP="00696B55">
      <w:pPr>
        <w:widowControl w:val="0"/>
        <w:suppressAutoHyphens/>
        <w:spacing w:after="0" w:line="240" w:lineRule="auto"/>
        <w:jc w:val="both"/>
        <w:rPr>
          <w:sz w:val="20"/>
          <w:szCs w:val="20"/>
        </w:rPr>
      </w:pPr>
    </w:p>
    <w:p w:rsidR="00696B55" w:rsidRPr="00BD3AC1" w:rsidRDefault="00696B55" w:rsidP="00696B55">
      <w:pPr>
        <w:widowControl w:val="0"/>
        <w:suppressAutoHyphens/>
        <w:spacing w:after="0" w:line="240" w:lineRule="auto"/>
        <w:jc w:val="both"/>
        <w:rPr>
          <w:sz w:val="20"/>
          <w:szCs w:val="20"/>
          <w:lang w:val="en-GB"/>
        </w:rPr>
      </w:pPr>
      <w:r w:rsidRPr="00BD3AC1">
        <w:rPr>
          <w:sz w:val="20"/>
          <w:szCs w:val="20"/>
          <w:lang w:val="en-GB"/>
        </w:rPr>
        <w:t xml:space="preserve">Top quality </w:t>
      </w:r>
      <w:proofErr w:type="spellStart"/>
      <w:r w:rsidRPr="00BD3AC1">
        <w:rPr>
          <w:sz w:val="20"/>
          <w:szCs w:val="20"/>
          <w:lang w:val="en-GB"/>
        </w:rPr>
        <w:t>ibérico</w:t>
      </w:r>
      <w:proofErr w:type="spellEnd"/>
      <w:r w:rsidRPr="00BD3AC1">
        <w:rPr>
          <w:sz w:val="20"/>
          <w:szCs w:val="20"/>
          <w:lang w:val="en-GB"/>
        </w:rPr>
        <w:t xml:space="preserve"> (see small part of fat, white)</w:t>
      </w:r>
    </w:p>
    <w:p w:rsidR="00696B55" w:rsidRPr="00104E5A" w:rsidRDefault="00696B55" w:rsidP="00696B55">
      <w:pPr>
        <w:widowControl w:val="0"/>
        <w:suppressAutoHyphens/>
        <w:spacing w:after="0" w:line="240" w:lineRule="auto"/>
        <w:jc w:val="both"/>
        <w:rPr>
          <w:sz w:val="20"/>
          <w:szCs w:val="20"/>
        </w:rPr>
      </w:pPr>
      <w:r w:rsidRPr="00104E5A">
        <w:rPr>
          <w:noProof/>
          <w:sz w:val="20"/>
          <w:szCs w:val="20"/>
          <w:lang w:val="nl-NL" w:eastAsia="nl-NL"/>
        </w:rPr>
        <w:drawing>
          <wp:inline distT="0" distB="0" distL="0" distR="0">
            <wp:extent cx="2442265" cy="88630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eno.png"/>
                    <pic:cNvPicPr/>
                  </pic:nvPicPr>
                  <pic:blipFill>
                    <a:blip r:embed="rId8">
                      <a:extLst>
                        <a:ext uri="{28A0092B-C50C-407E-A947-70E740481C1C}">
                          <a14:useLocalDpi xmlns:a14="http://schemas.microsoft.com/office/drawing/2010/main" val="0"/>
                        </a:ext>
                      </a:extLst>
                    </a:blip>
                    <a:stretch>
                      <a:fillRect/>
                    </a:stretch>
                  </pic:blipFill>
                  <pic:spPr>
                    <a:xfrm>
                      <a:off x="0" y="0"/>
                      <a:ext cx="2462017" cy="893474"/>
                    </a:xfrm>
                    <a:prstGeom prst="rect">
                      <a:avLst/>
                    </a:prstGeom>
                  </pic:spPr>
                </pic:pic>
              </a:graphicData>
            </a:graphic>
          </wp:inline>
        </w:drawing>
      </w:r>
    </w:p>
    <w:p w:rsidR="00696B55" w:rsidRPr="00BD3AC1" w:rsidRDefault="00696B55" w:rsidP="00696B55">
      <w:pPr>
        <w:widowControl w:val="0"/>
        <w:suppressAutoHyphens/>
        <w:spacing w:after="0" w:line="240" w:lineRule="auto"/>
        <w:jc w:val="both"/>
        <w:rPr>
          <w:sz w:val="20"/>
          <w:szCs w:val="20"/>
          <w:lang w:val="en-GB"/>
        </w:rPr>
      </w:pPr>
      <w:r w:rsidRPr="00BD3AC1">
        <w:rPr>
          <w:sz w:val="20"/>
          <w:szCs w:val="20"/>
          <w:lang w:val="en-GB"/>
        </w:rPr>
        <w:t xml:space="preserve">Lower quality </w:t>
      </w:r>
      <w:proofErr w:type="spellStart"/>
      <w:r w:rsidRPr="00BD3AC1">
        <w:rPr>
          <w:sz w:val="20"/>
          <w:szCs w:val="20"/>
          <w:lang w:val="en-GB"/>
        </w:rPr>
        <w:t>ibérico</w:t>
      </w:r>
      <w:proofErr w:type="spellEnd"/>
      <w:r w:rsidRPr="00BD3AC1">
        <w:rPr>
          <w:sz w:val="20"/>
          <w:szCs w:val="20"/>
          <w:lang w:val="en-GB"/>
        </w:rPr>
        <w:t xml:space="preserve"> (see more fat</w:t>
      </w:r>
      <w:r w:rsidR="002D3CAA" w:rsidRPr="00BD3AC1">
        <w:rPr>
          <w:sz w:val="20"/>
          <w:szCs w:val="20"/>
          <w:lang w:val="en-GB"/>
        </w:rPr>
        <w:t>, white)</w:t>
      </w:r>
    </w:p>
    <w:p w:rsidR="00400B45" w:rsidRPr="00104E5A" w:rsidRDefault="002D3CAA" w:rsidP="00400B45">
      <w:pPr>
        <w:jc w:val="both"/>
        <w:rPr>
          <w:sz w:val="20"/>
          <w:szCs w:val="20"/>
        </w:rPr>
      </w:pPr>
      <w:r w:rsidRPr="00104E5A">
        <w:rPr>
          <w:noProof/>
          <w:sz w:val="20"/>
          <w:szCs w:val="20"/>
          <w:lang w:val="nl-NL" w:eastAsia="nl-NL"/>
        </w:rPr>
        <w:drawing>
          <wp:inline distT="0" distB="0" distL="0" distR="0">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o.jpg"/>
                    <pic:cNvPicPr/>
                  </pic:nvPicPr>
                  <pic:blipFill>
                    <a:blip r:embed="rId9">
                      <a:extLst>
                        <a:ext uri="{28A0092B-C50C-407E-A947-70E740481C1C}">
                          <a14:useLocalDpi xmlns:a14="http://schemas.microsoft.com/office/drawing/2010/main" val="0"/>
                        </a:ext>
                      </a:extLst>
                    </a:blip>
                    <a:stretch>
                      <a:fillRect/>
                    </a:stretch>
                  </pic:blipFill>
                  <pic:spPr>
                    <a:xfrm>
                      <a:off x="0" y="0"/>
                      <a:ext cx="1072396" cy="1072396"/>
                    </a:xfrm>
                    <a:prstGeom prst="rect">
                      <a:avLst/>
                    </a:prstGeom>
                  </pic:spPr>
                </pic:pic>
              </a:graphicData>
            </a:graphic>
          </wp:inline>
        </w:drawing>
      </w:r>
    </w:p>
    <w:p w:rsidR="00400B45" w:rsidRPr="00104E5A" w:rsidRDefault="00400B45" w:rsidP="002D3CAA">
      <w:pPr>
        <w:jc w:val="both"/>
        <w:rPr>
          <w:b/>
          <w:sz w:val="20"/>
          <w:szCs w:val="20"/>
          <w:lang w:val="en-GB"/>
        </w:rPr>
      </w:pPr>
      <w:r w:rsidRPr="00BD3AC1">
        <w:rPr>
          <w:sz w:val="20"/>
          <w:szCs w:val="20"/>
          <w:lang w:val="en-GB"/>
        </w:rPr>
        <w:lastRenderedPageBreak/>
        <w:t xml:space="preserve">Legal problem: </w:t>
      </w:r>
      <w:r w:rsidR="002D3CAA" w:rsidRPr="00BD3AC1">
        <w:rPr>
          <w:sz w:val="20"/>
          <w:szCs w:val="20"/>
          <w:lang w:val="en-GB"/>
        </w:rPr>
        <w:t xml:space="preserve">EU food law aims at ensuring consumer protection but also proper functioning of the internal market, via free movement of goods in TFUE. </w:t>
      </w:r>
      <w:r w:rsidR="002D3CAA" w:rsidRPr="00BD3AC1">
        <w:rPr>
          <w:b/>
          <w:sz w:val="20"/>
          <w:szCs w:val="20"/>
          <w:lang w:val="en-GB"/>
        </w:rPr>
        <w:t>(a)</w:t>
      </w:r>
      <w:r w:rsidR="002D3CAA" w:rsidRPr="00BD3AC1">
        <w:rPr>
          <w:sz w:val="20"/>
          <w:szCs w:val="20"/>
          <w:lang w:val="en-GB"/>
        </w:rPr>
        <w:t xml:space="preserve"> Would the </w:t>
      </w:r>
      <w:r w:rsidR="008A46B1" w:rsidRPr="00BD3AC1">
        <w:rPr>
          <w:sz w:val="20"/>
          <w:szCs w:val="20"/>
          <w:lang w:val="en-GB"/>
        </w:rPr>
        <w:t>Spanish</w:t>
      </w:r>
      <w:r w:rsidR="002D3CAA" w:rsidRPr="00BD3AC1">
        <w:rPr>
          <w:sz w:val="20"/>
          <w:szCs w:val="20"/>
          <w:lang w:val="en-GB"/>
        </w:rPr>
        <w:t xml:space="preserve"> draft provision hinder </w:t>
      </w:r>
      <w:r w:rsidRPr="00BD3AC1">
        <w:rPr>
          <w:sz w:val="20"/>
          <w:szCs w:val="20"/>
          <w:lang w:val="en-GB"/>
        </w:rPr>
        <w:t xml:space="preserve">free movement of goods under TFUE? </w:t>
      </w:r>
      <w:r w:rsidR="002D3CAA" w:rsidRPr="000239C9">
        <w:rPr>
          <w:b/>
          <w:sz w:val="20"/>
          <w:szCs w:val="20"/>
          <w:lang w:val="en-GB"/>
        </w:rPr>
        <w:t>(b)</w:t>
      </w:r>
      <w:r w:rsidR="002D3CAA" w:rsidRPr="00104E5A">
        <w:rPr>
          <w:sz w:val="20"/>
          <w:szCs w:val="20"/>
          <w:lang w:val="en-GB"/>
        </w:rPr>
        <w:t xml:space="preserve"> </w:t>
      </w:r>
      <w:r w:rsidRPr="00104E5A">
        <w:rPr>
          <w:sz w:val="20"/>
          <w:szCs w:val="20"/>
          <w:lang w:val="en-GB"/>
        </w:rPr>
        <w:t>If so, how to modify so it does not?</w:t>
      </w:r>
    </w:p>
    <w:p w:rsidR="00391370" w:rsidRPr="00104E5A" w:rsidRDefault="00FE055F" w:rsidP="00FE055F">
      <w:pPr>
        <w:jc w:val="both"/>
        <w:rPr>
          <w:b/>
          <w:sz w:val="20"/>
          <w:szCs w:val="20"/>
          <w:lang w:val="en-GB"/>
        </w:rPr>
      </w:pPr>
      <w:r w:rsidRPr="00104E5A">
        <w:rPr>
          <w:b/>
          <w:sz w:val="20"/>
          <w:szCs w:val="20"/>
          <w:lang w:val="en-GB"/>
        </w:rPr>
        <w:t xml:space="preserve">Law: </w:t>
      </w:r>
    </w:p>
    <w:p w:rsidR="00BB7E3E" w:rsidRDefault="00BB7E3E" w:rsidP="00FE055F">
      <w:pPr>
        <w:jc w:val="both"/>
        <w:rPr>
          <w:sz w:val="20"/>
          <w:szCs w:val="20"/>
          <w:lang w:val="en-GB"/>
        </w:rPr>
      </w:pPr>
      <w:r>
        <w:rPr>
          <w:sz w:val="20"/>
          <w:szCs w:val="20"/>
          <w:lang w:val="en-GB"/>
        </w:rPr>
        <w:t>The team identifies that the product is considered food according to art. 2 GFL. Hence, it is a good.</w:t>
      </w:r>
    </w:p>
    <w:p w:rsidR="00FE055F" w:rsidRPr="00104E5A" w:rsidRDefault="001B0F10" w:rsidP="00FE055F">
      <w:pPr>
        <w:jc w:val="both"/>
        <w:rPr>
          <w:sz w:val="20"/>
          <w:szCs w:val="20"/>
          <w:lang w:val="en-GB"/>
        </w:rPr>
      </w:pPr>
      <w:r>
        <w:rPr>
          <w:sz w:val="20"/>
          <w:szCs w:val="20"/>
          <w:lang w:val="en-GB"/>
        </w:rPr>
        <w:t>For question (a), t</w:t>
      </w:r>
      <w:r w:rsidR="00FE055F" w:rsidRPr="00104E5A">
        <w:rPr>
          <w:sz w:val="20"/>
          <w:szCs w:val="20"/>
          <w:lang w:val="en-GB"/>
        </w:rPr>
        <w:t>he team identifies the legal framework for free movement of goods properly:</w:t>
      </w:r>
    </w:p>
    <w:p w:rsidR="00FE055F" w:rsidRPr="00BB7E3E" w:rsidRDefault="00FE055F" w:rsidP="00BB7E3E">
      <w:pPr>
        <w:pStyle w:val="ListParagraph"/>
        <w:numPr>
          <w:ilvl w:val="0"/>
          <w:numId w:val="5"/>
        </w:numPr>
        <w:jc w:val="both"/>
        <w:rPr>
          <w:sz w:val="20"/>
          <w:szCs w:val="20"/>
          <w:lang w:val="en-GB"/>
        </w:rPr>
      </w:pPr>
      <w:r w:rsidRPr="00BB7E3E">
        <w:rPr>
          <w:sz w:val="20"/>
          <w:szCs w:val="20"/>
          <w:lang w:val="en-GB"/>
        </w:rPr>
        <w:t xml:space="preserve">Article 34 and 35 TFUE focus on measures that may affect specific products due to its origin or destination. </w:t>
      </w:r>
    </w:p>
    <w:p w:rsidR="00FE055F" w:rsidRPr="00104E5A" w:rsidRDefault="00FE055F" w:rsidP="00FE055F">
      <w:pPr>
        <w:pStyle w:val="ListParagraph"/>
        <w:numPr>
          <w:ilvl w:val="0"/>
          <w:numId w:val="5"/>
        </w:numPr>
        <w:jc w:val="both"/>
        <w:rPr>
          <w:sz w:val="20"/>
          <w:szCs w:val="20"/>
          <w:lang w:val="en-GB"/>
        </w:rPr>
      </w:pPr>
      <w:r w:rsidRPr="00104E5A">
        <w:rPr>
          <w:sz w:val="20"/>
          <w:szCs w:val="20"/>
          <w:lang w:val="en-GB"/>
        </w:rPr>
        <w:t>Article 36 establishes in which situations those measures may still be legal under EU law. It includes national measures “for the protection of health and life of humans</w:t>
      </w:r>
      <w:r w:rsidR="003855D5" w:rsidRPr="00104E5A">
        <w:rPr>
          <w:sz w:val="20"/>
          <w:szCs w:val="20"/>
          <w:lang w:val="en-GB"/>
        </w:rPr>
        <w:t>.</w:t>
      </w:r>
      <w:r w:rsidRPr="00104E5A">
        <w:rPr>
          <w:sz w:val="20"/>
          <w:szCs w:val="20"/>
          <w:lang w:val="en-GB"/>
        </w:rPr>
        <w:t xml:space="preserve">” </w:t>
      </w:r>
    </w:p>
    <w:p w:rsidR="00FE055F" w:rsidRPr="00104E5A" w:rsidRDefault="00FE055F" w:rsidP="00FE055F">
      <w:pPr>
        <w:pStyle w:val="ListParagraph"/>
        <w:numPr>
          <w:ilvl w:val="0"/>
          <w:numId w:val="5"/>
        </w:numPr>
        <w:jc w:val="both"/>
        <w:rPr>
          <w:sz w:val="20"/>
          <w:szCs w:val="20"/>
          <w:lang w:val="en-GB"/>
        </w:rPr>
      </w:pPr>
      <w:r w:rsidRPr="00104E5A">
        <w:rPr>
          <w:sz w:val="20"/>
          <w:szCs w:val="20"/>
          <w:lang w:val="en-GB"/>
        </w:rPr>
        <w:t>The team has used sources of information such as papers and case law (that help it explain the content of the relevant articles, in particular:</w:t>
      </w:r>
    </w:p>
    <w:p w:rsidR="00FE055F" w:rsidRPr="00104E5A" w:rsidRDefault="00FE055F" w:rsidP="00FE055F">
      <w:pPr>
        <w:pStyle w:val="ListParagraph"/>
        <w:numPr>
          <w:ilvl w:val="1"/>
          <w:numId w:val="5"/>
        </w:numPr>
        <w:jc w:val="both"/>
        <w:rPr>
          <w:sz w:val="20"/>
          <w:szCs w:val="20"/>
          <w:lang w:val="en-GB"/>
        </w:rPr>
      </w:pPr>
      <w:r w:rsidRPr="00104E5A">
        <w:rPr>
          <w:sz w:val="20"/>
          <w:szCs w:val="20"/>
          <w:lang w:val="en-GB"/>
        </w:rPr>
        <w:t>What is “free movement of goods”? Title II of TFUE</w:t>
      </w:r>
    </w:p>
    <w:p w:rsidR="00FE055F" w:rsidRDefault="00FE055F" w:rsidP="00FE055F">
      <w:pPr>
        <w:pStyle w:val="ListParagraph"/>
        <w:numPr>
          <w:ilvl w:val="1"/>
          <w:numId w:val="5"/>
        </w:numPr>
        <w:jc w:val="both"/>
        <w:rPr>
          <w:sz w:val="20"/>
          <w:szCs w:val="20"/>
          <w:lang w:val="en-GB"/>
        </w:rPr>
      </w:pPr>
      <w:r w:rsidRPr="00104E5A">
        <w:rPr>
          <w:sz w:val="20"/>
          <w:szCs w:val="20"/>
          <w:lang w:val="en-GB"/>
        </w:rPr>
        <w:t>What is a measure of equivalent effect? Articles 34 and 35 TFUE.</w:t>
      </w:r>
    </w:p>
    <w:p w:rsidR="00FE055F" w:rsidRPr="00104E5A" w:rsidRDefault="00FE055F" w:rsidP="00FE055F">
      <w:pPr>
        <w:pStyle w:val="ListParagraph"/>
        <w:numPr>
          <w:ilvl w:val="1"/>
          <w:numId w:val="5"/>
        </w:numPr>
        <w:jc w:val="both"/>
        <w:rPr>
          <w:sz w:val="20"/>
          <w:szCs w:val="20"/>
          <w:lang w:val="en-GB"/>
        </w:rPr>
      </w:pPr>
      <w:r w:rsidRPr="00104E5A">
        <w:rPr>
          <w:sz w:val="20"/>
          <w:szCs w:val="20"/>
          <w:lang w:val="en-GB"/>
        </w:rPr>
        <w:t>The team refers to</w:t>
      </w:r>
      <w:r w:rsidR="003855D5" w:rsidRPr="00104E5A">
        <w:rPr>
          <w:sz w:val="20"/>
          <w:szCs w:val="20"/>
          <w:lang w:val="en-GB"/>
        </w:rPr>
        <w:t xml:space="preserve"> mandatory requirements</w:t>
      </w:r>
      <w:r w:rsidRPr="00104E5A">
        <w:rPr>
          <w:sz w:val="20"/>
          <w:szCs w:val="20"/>
          <w:lang w:val="en-GB"/>
        </w:rPr>
        <w:t xml:space="preserve"> </w:t>
      </w:r>
      <w:r w:rsidR="008C0DD2">
        <w:rPr>
          <w:sz w:val="20"/>
          <w:szCs w:val="20"/>
          <w:lang w:val="en-GB"/>
        </w:rPr>
        <w:t xml:space="preserve">in </w:t>
      </w:r>
      <w:proofErr w:type="spellStart"/>
      <w:r w:rsidRPr="00104E5A">
        <w:rPr>
          <w:sz w:val="20"/>
          <w:szCs w:val="20"/>
          <w:lang w:val="en-GB"/>
        </w:rPr>
        <w:t>Dassonville</w:t>
      </w:r>
      <w:proofErr w:type="spellEnd"/>
      <w:r w:rsidRPr="00104E5A">
        <w:rPr>
          <w:sz w:val="20"/>
          <w:szCs w:val="20"/>
          <w:lang w:val="en-GB"/>
        </w:rPr>
        <w:t xml:space="preserve"> Case</w:t>
      </w:r>
      <w:r w:rsidR="003855D5" w:rsidRPr="00104E5A">
        <w:rPr>
          <w:sz w:val="20"/>
          <w:szCs w:val="20"/>
          <w:lang w:val="en-GB"/>
        </w:rPr>
        <w:t xml:space="preserve"> (page 369 of reader), as studied in the lecture: </w:t>
      </w:r>
      <w:r w:rsidR="008A46B1" w:rsidRPr="00104E5A">
        <w:rPr>
          <w:sz w:val="20"/>
          <w:szCs w:val="20"/>
          <w:lang w:val="en-GB"/>
        </w:rPr>
        <w:t>defence</w:t>
      </w:r>
      <w:r w:rsidR="003855D5" w:rsidRPr="00104E5A">
        <w:rPr>
          <w:sz w:val="20"/>
          <w:szCs w:val="20"/>
          <w:lang w:val="en-GB"/>
        </w:rPr>
        <w:t xml:space="preserve"> of the consumer.</w:t>
      </w:r>
    </w:p>
    <w:p w:rsidR="00FE055F" w:rsidRPr="00104E5A" w:rsidRDefault="00FE055F" w:rsidP="00FE055F">
      <w:pPr>
        <w:pStyle w:val="ListParagraph"/>
        <w:numPr>
          <w:ilvl w:val="1"/>
          <w:numId w:val="5"/>
        </w:numPr>
        <w:jc w:val="both"/>
        <w:rPr>
          <w:sz w:val="20"/>
          <w:szCs w:val="20"/>
          <w:lang w:val="en-GB"/>
        </w:rPr>
      </w:pPr>
      <w:r w:rsidRPr="00104E5A">
        <w:rPr>
          <w:sz w:val="20"/>
          <w:szCs w:val="20"/>
          <w:lang w:val="en-GB"/>
        </w:rPr>
        <w:t xml:space="preserve">What elements are necessary to consider that a national law prevents free movement of goods? </w:t>
      </w:r>
    </w:p>
    <w:p w:rsidR="00FE055F" w:rsidRDefault="00FE055F" w:rsidP="00FE055F">
      <w:pPr>
        <w:pStyle w:val="ListParagraph"/>
        <w:numPr>
          <w:ilvl w:val="1"/>
          <w:numId w:val="5"/>
        </w:numPr>
        <w:jc w:val="both"/>
        <w:rPr>
          <w:sz w:val="20"/>
          <w:szCs w:val="20"/>
          <w:lang w:val="en-GB"/>
        </w:rPr>
      </w:pPr>
      <w:r w:rsidRPr="00104E5A">
        <w:rPr>
          <w:sz w:val="20"/>
          <w:szCs w:val="20"/>
          <w:lang w:val="en-GB"/>
        </w:rPr>
        <w:t>What could justify limiting free movement of goods according to TFUE?</w:t>
      </w:r>
    </w:p>
    <w:p w:rsidR="001B0F10" w:rsidRDefault="001B0F10" w:rsidP="001B0F10">
      <w:pPr>
        <w:rPr>
          <w:sz w:val="20"/>
          <w:szCs w:val="20"/>
          <w:lang w:val="en-GB"/>
        </w:rPr>
      </w:pPr>
      <w:r>
        <w:rPr>
          <w:sz w:val="20"/>
          <w:szCs w:val="20"/>
          <w:lang w:val="en-GB"/>
        </w:rPr>
        <w:t>For question (b) how to modify the draft so that it does not hinder TFUE? (mutual recognition)</w:t>
      </w:r>
    </w:p>
    <w:p w:rsidR="001B0F10" w:rsidRDefault="001B0F10" w:rsidP="001B0F10">
      <w:pPr>
        <w:pStyle w:val="ListParagraph"/>
        <w:numPr>
          <w:ilvl w:val="0"/>
          <w:numId w:val="17"/>
        </w:numPr>
        <w:rPr>
          <w:sz w:val="20"/>
          <w:szCs w:val="20"/>
          <w:lang w:val="en-GB"/>
        </w:rPr>
      </w:pPr>
      <w:r>
        <w:rPr>
          <w:sz w:val="20"/>
          <w:szCs w:val="20"/>
          <w:lang w:val="en-GB"/>
        </w:rPr>
        <w:t>The team identifies that there is no article that explicitly defines the principle of mutual recognition. It is a principle that is based on case law of the CJEU.</w:t>
      </w:r>
    </w:p>
    <w:p w:rsidR="001B0F10" w:rsidRDefault="001B0F10" w:rsidP="001B0F10">
      <w:pPr>
        <w:pStyle w:val="ListParagraph"/>
        <w:numPr>
          <w:ilvl w:val="0"/>
          <w:numId w:val="17"/>
        </w:numPr>
        <w:rPr>
          <w:sz w:val="20"/>
          <w:szCs w:val="20"/>
          <w:lang w:val="en-GB"/>
        </w:rPr>
      </w:pPr>
      <w:r>
        <w:rPr>
          <w:sz w:val="20"/>
          <w:szCs w:val="20"/>
          <w:lang w:val="en-GB"/>
        </w:rPr>
        <w:t>The team may have identified that there is a regulation on the application of this principle,</w:t>
      </w:r>
      <w:r w:rsidRPr="001B0F10">
        <w:rPr>
          <w:sz w:val="20"/>
          <w:szCs w:val="20"/>
          <w:lang w:val="en-GB"/>
        </w:rPr>
        <w:t xml:space="preserve"> Regulation (EC) No 764/2008.</w:t>
      </w:r>
      <w:r w:rsidR="00BD3AC1">
        <w:rPr>
          <w:sz w:val="20"/>
          <w:szCs w:val="20"/>
          <w:lang w:val="en-GB"/>
        </w:rPr>
        <w:t xml:space="preserve"> </w:t>
      </w:r>
    </w:p>
    <w:p w:rsidR="00F3175D" w:rsidRDefault="00F3175D" w:rsidP="001B0F10">
      <w:pPr>
        <w:pStyle w:val="ListParagraph"/>
        <w:numPr>
          <w:ilvl w:val="0"/>
          <w:numId w:val="17"/>
        </w:numPr>
        <w:rPr>
          <w:sz w:val="20"/>
          <w:szCs w:val="20"/>
          <w:lang w:val="en-GB"/>
        </w:rPr>
      </w:pPr>
      <w:r>
        <w:rPr>
          <w:sz w:val="20"/>
          <w:szCs w:val="20"/>
          <w:lang w:val="en-GB"/>
        </w:rPr>
        <w:t xml:space="preserve">The team refers to relevant </w:t>
      </w:r>
      <w:r w:rsidRPr="000239C9">
        <w:rPr>
          <w:sz w:val="20"/>
          <w:szCs w:val="20"/>
          <w:lang w:val="en-GB"/>
        </w:rPr>
        <w:t>case law analysed in the lecture,</w:t>
      </w:r>
      <w:r>
        <w:rPr>
          <w:sz w:val="20"/>
          <w:szCs w:val="20"/>
          <w:lang w:val="en-GB"/>
        </w:rPr>
        <w:t xml:space="preserve"> </w:t>
      </w:r>
      <w:r w:rsidR="000239C9">
        <w:rPr>
          <w:sz w:val="20"/>
          <w:szCs w:val="20"/>
          <w:lang w:val="en-GB"/>
        </w:rPr>
        <w:t>Cassis de Dijon (there is no valid reason why, provided they have been lawfully produced and marketed in one of the MS, ...it should not be introduced in another MS=principle of mutual recognition)</w:t>
      </w:r>
    </w:p>
    <w:p w:rsidR="001B0F10" w:rsidRPr="001B0F10" w:rsidRDefault="001B0F10" w:rsidP="001B0F10">
      <w:pPr>
        <w:pStyle w:val="ListParagraph"/>
        <w:numPr>
          <w:ilvl w:val="0"/>
          <w:numId w:val="17"/>
        </w:numPr>
        <w:rPr>
          <w:sz w:val="20"/>
          <w:szCs w:val="20"/>
          <w:lang w:val="en-GB"/>
        </w:rPr>
      </w:pPr>
      <w:r>
        <w:rPr>
          <w:sz w:val="20"/>
          <w:szCs w:val="20"/>
          <w:lang w:val="en-GB"/>
        </w:rPr>
        <w:t>The team identifies that the principle applies to products which are</w:t>
      </w:r>
      <w:r w:rsidRPr="001B0F10">
        <w:rPr>
          <w:sz w:val="20"/>
          <w:szCs w:val="20"/>
          <w:lang w:val="en-GB"/>
        </w:rPr>
        <w:t xml:space="preserve"> not the subject of harmonisation at</w:t>
      </w:r>
      <w:r>
        <w:rPr>
          <w:sz w:val="20"/>
          <w:szCs w:val="20"/>
          <w:lang w:val="en-GB"/>
        </w:rPr>
        <w:t xml:space="preserve"> EU level and which are lawfully marketed in another MS</w:t>
      </w:r>
      <w:r>
        <w:rPr>
          <w:rStyle w:val="FootnoteReference"/>
          <w:sz w:val="20"/>
          <w:szCs w:val="20"/>
          <w:lang w:val="en-GB"/>
        </w:rPr>
        <w:footnoteReference w:id="1"/>
      </w:r>
      <w:r>
        <w:rPr>
          <w:sz w:val="20"/>
          <w:szCs w:val="20"/>
          <w:lang w:val="en-GB"/>
        </w:rPr>
        <w:t>.</w:t>
      </w:r>
    </w:p>
    <w:p w:rsidR="008C0DD2" w:rsidRDefault="008C0DD2" w:rsidP="008C0DD2">
      <w:pPr>
        <w:pStyle w:val="ListParagraph"/>
        <w:ind w:left="1785"/>
        <w:rPr>
          <w:sz w:val="20"/>
          <w:szCs w:val="20"/>
          <w:lang w:val="en-GB"/>
        </w:rPr>
      </w:pPr>
    </w:p>
    <w:p w:rsidR="00BD3AC1" w:rsidRDefault="00BD3AC1" w:rsidP="008C0DD2">
      <w:pPr>
        <w:pStyle w:val="ListParagraph"/>
        <w:ind w:left="1785"/>
        <w:rPr>
          <w:sz w:val="20"/>
          <w:szCs w:val="20"/>
          <w:lang w:val="en-GB"/>
        </w:rPr>
      </w:pPr>
    </w:p>
    <w:p w:rsidR="00BD3AC1" w:rsidRPr="008C0DD2" w:rsidRDefault="00BD3AC1" w:rsidP="008C0DD2">
      <w:pPr>
        <w:pStyle w:val="ListParagraph"/>
        <w:ind w:left="1785"/>
        <w:rPr>
          <w:sz w:val="20"/>
          <w:szCs w:val="20"/>
          <w:lang w:val="en-GB"/>
        </w:rPr>
      </w:pPr>
    </w:p>
    <w:p w:rsidR="003855D5" w:rsidRPr="00104E5A" w:rsidRDefault="00080AD6" w:rsidP="003855D5">
      <w:pPr>
        <w:jc w:val="both"/>
        <w:rPr>
          <w:b/>
          <w:sz w:val="20"/>
          <w:szCs w:val="20"/>
          <w:lang w:val="en-GB"/>
        </w:rPr>
      </w:pPr>
      <w:r w:rsidRPr="00104E5A">
        <w:rPr>
          <w:b/>
          <w:sz w:val="20"/>
          <w:szCs w:val="20"/>
          <w:lang w:val="en-GB"/>
        </w:rPr>
        <w:t>Application:</w:t>
      </w:r>
    </w:p>
    <w:p w:rsidR="00C633C8" w:rsidRPr="00C633C8" w:rsidRDefault="00C633C8" w:rsidP="00C633C8">
      <w:pPr>
        <w:pStyle w:val="ListParagraph"/>
        <w:numPr>
          <w:ilvl w:val="0"/>
          <w:numId w:val="21"/>
        </w:numPr>
        <w:jc w:val="both"/>
        <w:rPr>
          <w:b/>
          <w:sz w:val="20"/>
          <w:szCs w:val="20"/>
          <w:lang w:val="en-GB"/>
        </w:rPr>
      </w:pPr>
      <w:r w:rsidRPr="00C633C8">
        <w:rPr>
          <w:b/>
          <w:sz w:val="20"/>
          <w:szCs w:val="20"/>
          <w:lang w:val="en-GB"/>
        </w:rPr>
        <w:t>Free movement of goods:</w:t>
      </w:r>
    </w:p>
    <w:p w:rsidR="003855D5" w:rsidRPr="00C633C8" w:rsidRDefault="003855D5" w:rsidP="00C633C8">
      <w:pPr>
        <w:jc w:val="both"/>
        <w:rPr>
          <w:sz w:val="20"/>
          <w:szCs w:val="20"/>
          <w:lang w:val="en-GB"/>
        </w:rPr>
      </w:pPr>
      <w:r w:rsidRPr="00C633C8">
        <w:rPr>
          <w:sz w:val="20"/>
          <w:szCs w:val="20"/>
          <w:lang w:val="en-GB"/>
        </w:rPr>
        <w:t>The team identifies that</w:t>
      </w:r>
      <w:r w:rsidR="00EA400C" w:rsidRPr="00C633C8">
        <w:rPr>
          <w:sz w:val="20"/>
          <w:szCs w:val="20"/>
          <w:lang w:val="en-GB"/>
        </w:rPr>
        <w:t xml:space="preserve"> it is/not a measure of equivalent effect</w:t>
      </w:r>
      <w:r w:rsidRPr="00C633C8">
        <w:rPr>
          <w:sz w:val="20"/>
          <w:szCs w:val="20"/>
          <w:lang w:val="en-GB"/>
        </w:rPr>
        <w:t>:</w:t>
      </w:r>
    </w:p>
    <w:p w:rsidR="003855D5" w:rsidRPr="00104E5A" w:rsidRDefault="00EA400C" w:rsidP="003855D5">
      <w:pPr>
        <w:jc w:val="both"/>
        <w:rPr>
          <w:sz w:val="20"/>
          <w:szCs w:val="20"/>
          <w:lang w:val="en-GB"/>
        </w:rPr>
      </w:pPr>
      <w:r w:rsidRPr="00104E5A">
        <w:rPr>
          <w:sz w:val="20"/>
          <w:szCs w:val="20"/>
          <w:lang w:val="en-GB"/>
        </w:rPr>
        <w:t xml:space="preserve">• </w:t>
      </w:r>
      <w:r w:rsidR="003855D5" w:rsidRPr="00104E5A">
        <w:rPr>
          <w:sz w:val="20"/>
          <w:szCs w:val="20"/>
          <w:lang w:val="en-GB"/>
        </w:rPr>
        <w:t xml:space="preserve">Argument against possible measure of equivalent effect: Because the measure affects all </w:t>
      </w:r>
      <w:proofErr w:type="spellStart"/>
      <w:r w:rsidR="003855D5" w:rsidRPr="00104E5A">
        <w:rPr>
          <w:i/>
          <w:sz w:val="20"/>
          <w:szCs w:val="20"/>
          <w:lang w:val="en-GB"/>
        </w:rPr>
        <w:t>jamon</w:t>
      </w:r>
      <w:proofErr w:type="spellEnd"/>
      <w:r w:rsidR="003855D5" w:rsidRPr="00104E5A">
        <w:rPr>
          <w:i/>
          <w:sz w:val="20"/>
          <w:szCs w:val="20"/>
          <w:lang w:val="en-GB"/>
        </w:rPr>
        <w:t xml:space="preserve"> de bellota</w:t>
      </w:r>
      <w:r w:rsidR="003855D5" w:rsidRPr="00104E5A">
        <w:rPr>
          <w:sz w:val="20"/>
          <w:szCs w:val="20"/>
          <w:lang w:val="en-GB"/>
        </w:rPr>
        <w:t xml:space="preserve"> sold in Spain regardless of origin, it apparently may not hinder free movement of goods.</w:t>
      </w:r>
    </w:p>
    <w:p w:rsidR="00EA400C" w:rsidRPr="00104E5A" w:rsidRDefault="003855D5" w:rsidP="003855D5">
      <w:pPr>
        <w:jc w:val="both"/>
        <w:rPr>
          <w:sz w:val="20"/>
          <w:szCs w:val="20"/>
          <w:lang w:val="en-GB"/>
        </w:rPr>
      </w:pPr>
      <w:r w:rsidRPr="00104E5A">
        <w:rPr>
          <w:sz w:val="20"/>
          <w:szCs w:val="20"/>
          <w:lang w:val="en-GB"/>
        </w:rPr>
        <w:t>•</w:t>
      </w:r>
      <w:r w:rsidR="00EA400C" w:rsidRPr="00104E5A">
        <w:rPr>
          <w:sz w:val="20"/>
          <w:szCs w:val="20"/>
          <w:lang w:val="en-GB"/>
        </w:rPr>
        <w:t xml:space="preserve"> </w:t>
      </w:r>
      <w:r w:rsidRPr="00104E5A">
        <w:rPr>
          <w:sz w:val="20"/>
          <w:szCs w:val="20"/>
          <w:lang w:val="en-GB"/>
        </w:rPr>
        <w:t>Argument for possible measure of equivalent effect: Oak and grass forests such as described may not be that common in other countries. The method of fattening and slaughtering not used in other countries.</w:t>
      </w:r>
    </w:p>
    <w:p w:rsidR="00EA400C" w:rsidRPr="00104E5A" w:rsidRDefault="00EA400C" w:rsidP="003855D5">
      <w:pPr>
        <w:jc w:val="both"/>
        <w:rPr>
          <w:sz w:val="20"/>
          <w:szCs w:val="20"/>
          <w:lang w:val="en-GB"/>
        </w:rPr>
      </w:pPr>
      <w:r w:rsidRPr="00104E5A">
        <w:rPr>
          <w:sz w:val="20"/>
          <w:szCs w:val="20"/>
          <w:lang w:val="en-GB"/>
        </w:rPr>
        <w:t>The team identifies that it is/not justified under article 36 TFUE:</w:t>
      </w:r>
    </w:p>
    <w:p w:rsidR="00EA400C" w:rsidRPr="006732DF" w:rsidRDefault="00F72D55" w:rsidP="00EA400C">
      <w:pPr>
        <w:pStyle w:val="ListParagraph"/>
        <w:numPr>
          <w:ilvl w:val="0"/>
          <w:numId w:val="7"/>
        </w:numPr>
        <w:jc w:val="both"/>
        <w:rPr>
          <w:sz w:val="20"/>
          <w:szCs w:val="20"/>
          <w:lang w:val="en-GB"/>
        </w:rPr>
      </w:pPr>
      <w:r w:rsidRPr="006732DF">
        <w:rPr>
          <w:sz w:val="20"/>
          <w:szCs w:val="20"/>
          <w:lang w:val="en-GB"/>
        </w:rPr>
        <w:t>Health justification? Classic art.36 TFUE</w:t>
      </w:r>
    </w:p>
    <w:p w:rsidR="00F72D55" w:rsidRPr="006732DF" w:rsidRDefault="00F72D55" w:rsidP="00EA400C">
      <w:pPr>
        <w:pStyle w:val="ListParagraph"/>
        <w:numPr>
          <w:ilvl w:val="0"/>
          <w:numId w:val="7"/>
        </w:numPr>
        <w:jc w:val="both"/>
        <w:rPr>
          <w:sz w:val="20"/>
          <w:szCs w:val="20"/>
          <w:lang w:val="en-GB"/>
        </w:rPr>
      </w:pPr>
      <w:r w:rsidRPr="006732DF">
        <w:rPr>
          <w:sz w:val="20"/>
          <w:szCs w:val="20"/>
          <w:lang w:val="en-GB"/>
        </w:rPr>
        <w:t xml:space="preserve">Consumer protection in mandatory requirements in Cassis de Dijon (page 369 reader). </w:t>
      </w:r>
    </w:p>
    <w:p w:rsidR="003855D5" w:rsidRPr="006732DF" w:rsidRDefault="003855D5" w:rsidP="003855D5">
      <w:pPr>
        <w:jc w:val="both"/>
        <w:rPr>
          <w:sz w:val="20"/>
          <w:szCs w:val="20"/>
          <w:lang w:val="en-GB"/>
        </w:rPr>
      </w:pPr>
      <w:r w:rsidRPr="006732DF">
        <w:rPr>
          <w:sz w:val="20"/>
          <w:szCs w:val="20"/>
          <w:lang w:val="en-GB"/>
        </w:rPr>
        <w:t>Therefore there is/no violation of free movement of goods.</w:t>
      </w:r>
    </w:p>
    <w:p w:rsidR="003855D5" w:rsidRPr="006732DF" w:rsidRDefault="00C633C8" w:rsidP="00E94AFB">
      <w:pPr>
        <w:pStyle w:val="ListParagraph"/>
        <w:numPr>
          <w:ilvl w:val="0"/>
          <w:numId w:val="21"/>
        </w:numPr>
        <w:jc w:val="both"/>
        <w:rPr>
          <w:b/>
          <w:sz w:val="20"/>
          <w:szCs w:val="20"/>
          <w:lang w:val="en-GB"/>
        </w:rPr>
      </w:pPr>
      <w:r w:rsidRPr="006732DF">
        <w:rPr>
          <w:b/>
          <w:sz w:val="20"/>
          <w:szCs w:val="20"/>
          <w:lang w:val="en-GB"/>
        </w:rPr>
        <w:t>Mutual recognition:</w:t>
      </w:r>
      <w:r w:rsidR="006732DF" w:rsidRPr="006732DF">
        <w:rPr>
          <w:sz w:val="20"/>
          <w:szCs w:val="20"/>
          <w:lang w:val="en-GB"/>
        </w:rPr>
        <w:t xml:space="preserve"> </w:t>
      </w:r>
      <w:r w:rsidR="00F72D55" w:rsidRPr="006732DF">
        <w:rPr>
          <w:sz w:val="20"/>
          <w:szCs w:val="20"/>
          <w:lang w:val="en-GB"/>
        </w:rPr>
        <w:t>If considered in violation of free movement of goods, how to modify the draft so it complies?</w:t>
      </w:r>
    </w:p>
    <w:p w:rsidR="00DC3B8B" w:rsidRPr="006732DF" w:rsidRDefault="00F72D55" w:rsidP="006732DF">
      <w:pPr>
        <w:jc w:val="both"/>
        <w:rPr>
          <w:sz w:val="20"/>
          <w:szCs w:val="20"/>
          <w:lang w:val="en-GB"/>
        </w:rPr>
      </w:pPr>
      <w:r w:rsidRPr="006732DF">
        <w:rPr>
          <w:sz w:val="20"/>
          <w:szCs w:val="20"/>
          <w:lang w:val="en-GB"/>
        </w:rPr>
        <w:t xml:space="preserve">The team identifies that the law could establish that </w:t>
      </w:r>
      <w:r w:rsidR="00BD3AC1" w:rsidRPr="006732DF">
        <w:rPr>
          <w:sz w:val="20"/>
          <w:szCs w:val="20"/>
          <w:lang w:val="en-GB"/>
        </w:rPr>
        <w:t xml:space="preserve">the proposed provision </w:t>
      </w:r>
      <w:r w:rsidRPr="006732DF">
        <w:rPr>
          <w:sz w:val="20"/>
          <w:szCs w:val="20"/>
          <w:lang w:val="en-GB"/>
        </w:rPr>
        <w:t xml:space="preserve">only applies to food products from Spain. </w:t>
      </w:r>
      <w:r w:rsidR="00BD3AC1" w:rsidRPr="006732DF">
        <w:rPr>
          <w:sz w:val="20"/>
          <w:szCs w:val="20"/>
          <w:lang w:val="en-GB"/>
        </w:rPr>
        <w:t>It could additionally state that MS are not obliged to comply with it if they could be marketed as “acorn ham” there</w:t>
      </w:r>
      <w:r w:rsidR="008D72ED">
        <w:rPr>
          <w:sz w:val="20"/>
          <w:szCs w:val="20"/>
          <w:lang w:val="en-GB"/>
        </w:rPr>
        <w:t xml:space="preserve"> (for instance, Portugal has </w:t>
      </w:r>
      <w:r w:rsidR="00187AD7">
        <w:rPr>
          <w:sz w:val="20"/>
          <w:szCs w:val="20"/>
          <w:lang w:val="en-GB"/>
        </w:rPr>
        <w:t xml:space="preserve">its own regulation on this product </w:t>
      </w:r>
      <w:r w:rsidR="008D72ED">
        <w:rPr>
          <w:sz w:val="20"/>
          <w:szCs w:val="20"/>
          <w:lang w:val="en-GB"/>
        </w:rPr>
        <w:t>standard)</w:t>
      </w:r>
      <w:r w:rsidR="00BD3AC1" w:rsidRPr="006732DF">
        <w:rPr>
          <w:sz w:val="20"/>
          <w:szCs w:val="20"/>
          <w:lang w:val="en-GB"/>
        </w:rPr>
        <w:t xml:space="preserve">. </w:t>
      </w:r>
    </w:p>
    <w:p w:rsidR="008D72ED" w:rsidRDefault="008D72ED" w:rsidP="003855D5">
      <w:pPr>
        <w:jc w:val="both"/>
        <w:rPr>
          <w:sz w:val="20"/>
          <w:szCs w:val="20"/>
          <w:lang w:val="en-GB"/>
        </w:rPr>
      </w:pPr>
    </w:p>
    <w:p w:rsidR="003855D5" w:rsidRPr="00FF0537" w:rsidRDefault="003855D5" w:rsidP="003855D5">
      <w:pPr>
        <w:jc w:val="both"/>
        <w:rPr>
          <w:b/>
          <w:sz w:val="20"/>
          <w:szCs w:val="20"/>
          <w:lang w:val="en-GB"/>
        </w:rPr>
      </w:pPr>
      <w:r w:rsidRPr="00FF0537">
        <w:rPr>
          <w:b/>
          <w:sz w:val="20"/>
          <w:szCs w:val="20"/>
          <w:lang w:val="en-GB"/>
        </w:rPr>
        <w:t>Conclusion:</w:t>
      </w:r>
    </w:p>
    <w:p w:rsidR="00080AD6" w:rsidRPr="00FF0537" w:rsidRDefault="003855D5" w:rsidP="003855D5">
      <w:pPr>
        <w:jc w:val="both"/>
        <w:rPr>
          <w:sz w:val="20"/>
          <w:szCs w:val="20"/>
          <w:lang w:val="en-GB"/>
        </w:rPr>
      </w:pPr>
      <w:r w:rsidRPr="00FF0537">
        <w:rPr>
          <w:sz w:val="20"/>
          <w:szCs w:val="20"/>
          <w:lang w:val="en-GB"/>
        </w:rPr>
        <w:t>No/Yes discrimination by origin</w:t>
      </w:r>
      <w:r w:rsidR="00F72D55" w:rsidRPr="00FF0537">
        <w:rPr>
          <w:sz w:val="20"/>
          <w:szCs w:val="20"/>
          <w:lang w:val="en-GB"/>
        </w:rPr>
        <w:t>, the draft</w:t>
      </w:r>
      <w:r w:rsidRPr="00FF0537">
        <w:rPr>
          <w:sz w:val="20"/>
          <w:szCs w:val="20"/>
          <w:lang w:val="en-GB"/>
        </w:rPr>
        <w:t xml:space="preserve"> is/not respectful with free movement of goods.</w:t>
      </w:r>
    </w:p>
    <w:p w:rsidR="00212AC6" w:rsidRDefault="00080AD6" w:rsidP="003855D5">
      <w:pPr>
        <w:jc w:val="both"/>
        <w:rPr>
          <w:sz w:val="20"/>
          <w:szCs w:val="20"/>
          <w:lang w:val="en-GB"/>
        </w:rPr>
      </w:pPr>
      <w:r w:rsidRPr="00212AC6">
        <w:rPr>
          <w:sz w:val="20"/>
          <w:szCs w:val="20"/>
          <w:lang w:val="en-GB"/>
        </w:rPr>
        <w:t>Proposal of new draf</w:t>
      </w:r>
      <w:r w:rsidR="00212AC6">
        <w:rPr>
          <w:sz w:val="20"/>
          <w:szCs w:val="20"/>
          <w:lang w:val="en-GB"/>
        </w:rPr>
        <w:t>t</w:t>
      </w:r>
      <w:r w:rsidRPr="00212AC6">
        <w:rPr>
          <w:sz w:val="20"/>
          <w:szCs w:val="20"/>
          <w:lang w:val="en-GB"/>
        </w:rPr>
        <w:t>:</w:t>
      </w:r>
      <w:r w:rsidRPr="00104E5A">
        <w:rPr>
          <w:sz w:val="20"/>
          <w:szCs w:val="20"/>
          <w:lang w:val="en-GB"/>
        </w:rPr>
        <w:t xml:space="preserve"> </w:t>
      </w:r>
    </w:p>
    <w:p w:rsidR="00080AD6" w:rsidRPr="00104E5A" w:rsidRDefault="00212AC6" w:rsidP="003855D5">
      <w:pPr>
        <w:jc w:val="both"/>
        <w:rPr>
          <w:sz w:val="20"/>
          <w:szCs w:val="20"/>
          <w:lang w:val="en-GB"/>
        </w:rPr>
      </w:pPr>
      <w:r w:rsidRPr="00212AC6">
        <w:rPr>
          <w:i/>
          <w:sz w:val="20"/>
          <w:szCs w:val="20"/>
          <w:lang w:val="en-GB"/>
        </w:rPr>
        <w:t>Meat products from Spain</w:t>
      </w:r>
      <w:r w:rsidRPr="00212AC6">
        <w:rPr>
          <w:sz w:val="20"/>
          <w:szCs w:val="20"/>
          <w:lang w:val="en-GB"/>
        </w:rPr>
        <w:t xml:space="preserve"> marketed as “</w:t>
      </w:r>
      <w:proofErr w:type="spellStart"/>
      <w:r w:rsidRPr="00212AC6">
        <w:rPr>
          <w:sz w:val="20"/>
          <w:szCs w:val="20"/>
          <w:lang w:val="en-GB"/>
        </w:rPr>
        <w:t>Jamón</w:t>
      </w:r>
      <w:proofErr w:type="spellEnd"/>
      <w:r w:rsidRPr="00212AC6">
        <w:rPr>
          <w:sz w:val="20"/>
          <w:szCs w:val="20"/>
          <w:lang w:val="en-GB"/>
        </w:rPr>
        <w:t xml:space="preserve"> de bellota (acorn ham)” must derive exclusively from animals slaughtered immediately after fattening exclusively with acorns, grass and other natural resources found in oak forests.</w:t>
      </w:r>
    </w:p>
    <w:p w:rsidR="003855D5" w:rsidRPr="00104E5A" w:rsidRDefault="003855D5" w:rsidP="003855D5">
      <w:pPr>
        <w:jc w:val="both"/>
        <w:rPr>
          <w:b/>
          <w:sz w:val="20"/>
          <w:szCs w:val="20"/>
          <w:u w:val="single"/>
          <w:lang w:val="en-GB"/>
        </w:rPr>
      </w:pPr>
    </w:p>
    <w:p w:rsidR="00FE055F" w:rsidRPr="00104E5A" w:rsidRDefault="00080AD6">
      <w:pPr>
        <w:rPr>
          <w:b/>
          <w:sz w:val="20"/>
          <w:szCs w:val="20"/>
          <w:u w:val="single"/>
          <w:lang w:val="en-GB"/>
        </w:rPr>
      </w:pPr>
      <w:r w:rsidRPr="00104E5A">
        <w:rPr>
          <w:b/>
          <w:sz w:val="20"/>
          <w:szCs w:val="20"/>
          <w:u w:val="single"/>
          <w:lang w:val="en-GB"/>
        </w:rPr>
        <w:t>Part 2: Article 14 GFL</w:t>
      </w:r>
    </w:p>
    <w:p w:rsidR="00A17878" w:rsidRPr="00104E5A" w:rsidRDefault="00080AD6" w:rsidP="00080AD6">
      <w:pPr>
        <w:pBdr>
          <w:top w:val="single" w:sz="4" w:space="1" w:color="auto"/>
          <w:left w:val="single" w:sz="4" w:space="4" w:color="auto"/>
          <w:bottom w:val="single" w:sz="4" w:space="1" w:color="auto"/>
          <w:right w:val="single" w:sz="4" w:space="4" w:color="auto"/>
        </w:pBdr>
        <w:jc w:val="both"/>
        <w:rPr>
          <w:sz w:val="20"/>
          <w:szCs w:val="20"/>
          <w:lang w:val="en-GB"/>
        </w:rPr>
      </w:pPr>
      <w:r w:rsidRPr="00104E5A">
        <w:rPr>
          <w:sz w:val="20"/>
          <w:szCs w:val="20"/>
          <w:lang w:val="en-GB"/>
        </w:rPr>
        <w:t xml:space="preserve">The competent authority in Sevilla has just informed us they have identified some batches of </w:t>
      </w:r>
      <w:proofErr w:type="spellStart"/>
      <w:r w:rsidRPr="00104E5A">
        <w:rPr>
          <w:sz w:val="20"/>
          <w:szCs w:val="20"/>
          <w:lang w:val="en-GB"/>
        </w:rPr>
        <w:t>manchego</w:t>
      </w:r>
      <w:proofErr w:type="spellEnd"/>
      <w:r w:rsidRPr="00104E5A">
        <w:rPr>
          <w:sz w:val="20"/>
          <w:szCs w:val="20"/>
          <w:lang w:val="en-GB"/>
        </w:rPr>
        <w:t xml:space="preserve"> cheese that has a strong smell and a dark brown colour. They are uncertain about how to proceed,…should they consider the cheese is unsafe according to the General Food Law?</w:t>
      </w:r>
    </w:p>
    <w:p w:rsidR="002C4ECA" w:rsidRPr="00104E5A" w:rsidRDefault="002C4ECA">
      <w:pPr>
        <w:rPr>
          <w:b/>
          <w:sz w:val="20"/>
          <w:szCs w:val="20"/>
          <w:lang w:val="en-GB"/>
        </w:rPr>
      </w:pPr>
    </w:p>
    <w:p w:rsidR="002C4ECA" w:rsidRPr="00104E5A" w:rsidRDefault="002C4ECA">
      <w:pPr>
        <w:rPr>
          <w:b/>
          <w:sz w:val="20"/>
          <w:szCs w:val="20"/>
          <w:lang w:val="en-GB"/>
        </w:rPr>
      </w:pPr>
      <w:r w:rsidRPr="00104E5A">
        <w:rPr>
          <w:b/>
          <w:sz w:val="20"/>
          <w:szCs w:val="20"/>
          <w:lang w:val="en-GB"/>
        </w:rPr>
        <w:t>Issue:</w:t>
      </w:r>
    </w:p>
    <w:p w:rsidR="002C4ECA" w:rsidRPr="00104E5A" w:rsidRDefault="002C4ECA" w:rsidP="00104E5A">
      <w:pPr>
        <w:jc w:val="both"/>
        <w:rPr>
          <w:sz w:val="20"/>
          <w:szCs w:val="20"/>
          <w:lang w:val="en-GB"/>
        </w:rPr>
      </w:pPr>
      <w:r w:rsidRPr="00104E5A">
        <w:rPr>
          <w:sz w:val="20"/>
          <w:szCs w:val="20"/>
          <w:lang w:val="en-GB"/>
        </w:rPr>
        <w:t>The team has researched and describes the issue:</w:t>
      </w:r>
    </w:p>
    <w:p w:rsidR="003633CF" w:rsidRPr="00104E5A" w:rsidRDefault="002C4ECA" w:rsidP="00104E5A">
      <w:pPr>
        <w:pStyle w:val="ListParagraph"/>
        <w:numPr>
          <w:ilvl w:val="0"/>
          <w:numId w:val="12"/>
        </w:numPr>
        <w:jc w:val="both"/>
        <w:rPr>
          <w:sz w:val="20"/>
          <w:szCs w:val="20"/>
          <w:lang w:val="en-GB"/>
        </w:rPr>
      </w:pPr>
      <w:r w:rsidRPr="00104E5A">
        <w:rPr>
          <w:sz w:val="20"/>
          <w:szCs w:val="20"/>
          <w:lang w:val="en-GB"/>
        </w:rPr>
        <w:t xml:space="preserve">Description of </w:t>
      </w:r>
      <w:proofErr w:type="spellStart"/>
      <w:r w:rsidRPr="00104E5A">
        <w:rPr>
          <w:sz w:val="20"/>
          <w:szCs w:val="20"/>
          <w:lang w:val="en-GB"/>
        </w:rPr>
        <w:t>manchego</w:t>
      </w:r>
      <w:proofErr w:type="spellEnd"/>
      <w:r w:rsidRPr="00104E5A">
        <w:rPr>
          <w:sz w:val="20"/>
          <w:szCs w:val="20"/>
          <w:lang w:val="en-GB"/>
        </w:rPr>
        <w:t xml:space="preserve"> is set in </w:t>
      </w:r>
      <w:r w:rsidR="003633CF" w:rsidRPr="00104E5A">
        <w:rPr>
          <w:sz w:val="20"/>
          <w:szCs w:val="20"/>
          <w:lang w:val="en-GB"/>
        </w:rPr>
        <w:t xml:space="preserve">its </w:t>
      </w:r>
      <w:r w:rsidRPr="00104E5A">
        <w:rPr>
          <w:i/>
          <w:sz w:val="20"/>
          <w:szCs w:val="20"/>
          <w:lang w:val="en-GB"/>
        </w:rPr>
        <w:t>PDO guidelines</w:t>
      </w:r>
      <w:r w:rsidRPr="00104E5A">
        <w:rPr>
          <w:rStyle w:val="FootnoteReference"/>
          <w:i/>
          <w:sz w:val="20"/>
          <w:szCs w:val="20"/>
          <w:lang w:val="en-GB"/>
        </w:rPr>
        <w:footnoteReference w:id="2"/>
      </w:r>
      <w:r w:rsidR="003633CF" w:rsidRPr="00104E5A">
        <w:rPr>
          <w:i/>
          <w:sz w:val="20"/>
          <w:szCs w:val="20"/>
          <w:lang w:val="en-GB"/>
        </w:rPr>
        <w:t xml:space="preserve">, </w:t>
      </w:r>
      <w:r w:rsidR="003633CF" w:rsidRPr="00104E5A">
        <w:rPr>
          <w:sz w:val="20"/>
          <w:szCs w:val="20"/>
          <w:lang w:val="en-GB"/>
        </w:rPr>
        <w:t>some might be relevant to the case:</w:t>
      </w:r>
    </w:p>
    <w:p w:rsidR="003633CF" w:rsidRPr="00104E5A" w:rsidRDefault="003633CF" w:rsidP="00104E5A">
      <w:pPr>
        <w:ind w:left="1416"/>
        <w:jc w:val="both"/>
        <w:rPr>
          <w:i/>
          <w:sz w:val="20"/>
          <w:szCs w:val="20"/>
          <w:lang w:val="en-GB"/>
        </w:rPr>
      </w:pPr>
      <w:r w:rsidRPr="00104E5A">
        <w:rPr>
          <w:i/>
          <w:sz w:val="20"/>
          <w:szCs w:val="20"/>
          <w:lang w:val="en-GB"/>
        </w:rPr>
        <w:t>Pressed cheese made from milk of ewes of the ‘</w:t>
      </w:r>
      <w:proofErr w:type="spellStart"/>
      <w:r w:rsidRPr="00104E5A">
        <w:rPr>
          <w:i/>
          <w:sz w:val="20"/>
          <w:szCs w:val="20"/>
          <w:lang w:val="en-GB"/>
        </w:rPr>
        <w:t>Manchega</w:t>
      </w:r>
      <w:proofErr w:type="spellEnd"/>
      <w:r w:rsidRPr="00104E5A">
        <w:rPr>
          <w:i/>
          <w:sz w:val="20"/>
          <w:szCs w:val="20"/>
          <w:lang w:val="en-GB"/>
        </w:rPr>
        <w:t>’ breed, aged for a minimum of 30 days for cheeses weighing up to 1,5 kg and from 60 days up to a maximum of two years for larger cheeses. ‘Queso Manchego’ can be made with either pasteurised or raw milk.</w:t>
      </w:r>
    </w:p>
    <w:p w:rsidR="003633CF" w:rsidRPr="00104E5A" w:rsidRDefault="003633CF" w:rsidP="00104E5A">
      <w:pPr>
        <w:ind w:left="1416"/>
        <w:jc w:val="both"/>
        <w:rPr>
          <w:i/>
          <w:sz w:val="20"/>
          <w:szCs w:val="20"/>
          <w:lang w:val="en-GB"/>
        </w:rPr>
      </w:pPr>
      <w:r w:rsidRPr="00104E5A">
        <w:rPr>
          <w:i/>
          <w:sz w:val="20"/>
          <w:szCs w:val="20"/>
          <w:lang w:val="en-GB"/>
        </w:rPr>
        <w:t>A pressed cheese with a hard rind and a firm and compact paste, a colour that varies from white to ivory-yellow, an intense and persistent aroma, a slightly acidic, strong and flavoursome taste and a buttery, slightly floury texture with low elasticity.</w:t>
      </w:r>
    </w:p>
    <w:p w:rsidR="00F211D1" w:rsidRPr="00104E5A" w:rsidRDefault="003633CF" w:rsidP="00104E5A">
      <w:pPr>
        <w:ind w:left="1416"/>
        <w:jc w:val="both"/>
        <w:rPr>
          <w:color w:val="2F5496" w:themeColor="accent1" w:themeShade="BF"/>
          <w:sz w:val="20"/>
          <w:szCs w:val="20"/>
          <w:lang w:val="en-GB"/>
        </w:rPr>
      </w:pPr>
      <w:r w:rsidRPr="00104E5A">
        <w:rPr>
          <w:color w:val="2F5496" w:themeColor="accent1" w:themeShade="BF"/>
          <w:sz w:val="20"/>
          <w:szCs w:val="20"/>
          <w:lang w:val="en-GB"/>
        </w:rPr>
        <w:t xml:space="preserve"> </w:t>
      </w:r>
      <w:r w:rsidR="002C4ECA" w:rsidRPr="00104E5A">
        <w:rPr>
          <w:color w:val="2F5496" w:themeColor="accent1" w:themeShade="BF"/>
          <w:sz w:val="20"/>
          <w:szCs w:val="20"/>
          <w:lang w:val="en-GB"/>
        </w:rPr>
        <w:t xml:space="preserve">Suggestion: consider showing them the DOOR database? </w:t>
      </w:r>
    </w:p>
    <w:p w:rsidR="00F211D1" w:rsidRPr="00104E5A" w:rsidRDefault="00F211D1" w:rsidP="00104E5A">
      <w:pPr>
        <w:pStyle w:val="ListParagraph"/>
        <w:numPr>
          <w:ilvl w:val="0"/>
          <w:numId w:val="12"/>
        </w:numPr>
        <w:jc w:val="both"/>
        <w:rPr>
          <w:sz w:val="20"/>
          <w:szCs w:val="20"/>
          <w:lang w:val="en-GB"/>
        </w:rPr>
      </w:pPr>
      <w:r w:rsidRPr="00104E5A">
        <w:rPr>
          <w:sz w:val="20"/>
          <w:szCs w:val="20"/>
          <w:lang w:val="en-GB"/>
        </w:rPr>
        <w:t xml:space="preserve">Control staff has identified batches of cheese that have a strong smell and dark brown colour. They need to decide if it fits with safe </w:t>
      </w:r>
      <w:proofErr w:type="spellStart"/>
      <w:r w:rsidRPr="00104E5A">
        <w:rPr>
          <w:sz w:val="20"/>
          <w:szCs w:val="20"/>
          <w:lang w:val="en-GB"/>
        </w:rPr>
        <w:t>manchego</w:t>
      </w:r>
      <w:proofErr w:type="spellEnd"/>
      <w:r w:rsidRPr="00104E5A">
        <w:rPr>
          <w:sz w:val="20"/>
          <w:szCs w:val="20"/>
          <w:lang w:val="en-GB"/>
        </w:rPr>
        <w:t xml:space="preserve"> cheese description. </w:t>
      </w:r>
    </w:p>
    <w:p w:rsidR="00F211D1" w:rsidRPr="00104E5A" w:rsidRDefault="00F211D1" w:rsidP="00104E5A">
      <w:pPr>
        <w:pStyle w:val="ListParagraph"/>
        <w:numPr>
          <w:ilvl w:val="1"/>
          <w:numId w:val="12"/>
        </w:numPr>
        <w:jc w:val="both"/>
        <w:rPr>
          <w:sz w:val="20"/>
          <w:szCs w:val="20"/>
          <w:lang w:val="en-GB"/>
        </w:rPr>
      </w:pPr>
      <w:r w:rsidRPr="00104E5A">
        <w:rPr>
          <w:sz w:val="20"/>
          <w:szCs w:val="20"/>
          <w:lang w:val="en-GB"/>
        </w:rPr>
        <w:t xml:space="preserve">Tip: </w:t>
      </w:r>
      <w:r w:rsidR="00583E8E" w:rsidRPr="00104E5A">
        <w:rPr>
          <w:sz w:val="20"/>
          <w:szCs w:val="20"/>
          <w:lang w:val="en-GB"/>
        </w:rPr>
        <w:t>the crust may be brown, but the inside of the cheese should not. The smell is intense and persistent so odour might not be a problem.</w:t>
      </w:r>
    </w:p>
    <w:p w:rsidR="00583E8E" w:rsidRPr="00104E5A" w:rsidRDefault="00583E8E" w:rsidP="00104E5A">
      <w:pPr>
        <w:pStyle w:val="ListParagraph"/>
        <w:ind w:left="1440"/>
        <w:jc w:val="both"/>
        <w:rPr>
          <w:sz w:val="20"/>
          <w:szCs w:val="20"/>
          <w:lang w:val="en-GB"/>
        </w:rPr>
      </w:pPr>
    </w:p>
    <w:p w:rsidR="00F211D1" w:rsidRDefault="00583E8E" w:rsidP="00104E5A">
      <w:pPr>
        <w:pStyle w:val="ListParagraph"/>
        <w:numPr>
          <w:ilvl w:val="0"/>
          <w:numId w:val="12"/>
        </w:numPr>
        <w:jc w:val="both"/>
        <w:rPr>
          <w:sz w:val="20"/>
          <w:szCs w:val="20"/>
          <w:lang w:val="en-GB"/>
        </w:rPr>
      </w:pPr>
      <w:r w:rsidRPr="00104E5A">
        <w:rPr>
          <w:sz w:val="20"/>
          <w:szCs w:val="20"/>
          <w:lang w:val="en-GB"/>
        </w:rPr>
        <w:t>There is no information regarding where they found the product (at a manufacturers premises or in the market).</w:t>
      </w:r>
    </w:p>
    <w:p w:rsidR="00104E5A" w:rsidRDefault="00104E5A" w:rsidP="00104E5A">
      <w:pPr>
        <w:pStyle w:val="ListParagraph"/>
        <w:ind w:left="1080"/>
        <w:jc w:val="both"/>
        <w:rPr>
          <w:sz w:val="20"/>
          <w:szCs w:val="20"/>
          <w:lang w:val="en-GB"/>
        </w:rPr>
      </w:pPr>
    </w:p>
    <w:p w:rsidR="00104E5A" w:rsidRPr="005D7F2F" w:rsidRDefault="005D7F2F" w:rsidP="005D7F2F">
      <w:pPr>
        <w:jc w:val="both"/>
        <w:rPr>
          <w:sz w:val="20"/>
          <w:szCs w:val="20"/>
          <w:lang w:val="en-GB"/>
        </w:rPr>
      </w:pPr>
      <w:r>
        <w:rPr>
          <w:sz w:val="20"/>
          <w:szCs w:val="20"/>
          <w:lang w:val="en-GB"/>
        </w:rPr>
        <w:t>Legal problem: Is</w:t>
      </w:r>
      <w:r w:rsidR="00104E5A" w:rsidRPr="005D7F2F">
        <w:rPr>
          <w:sz w:val="20"/>
          <w:szCs w:val="20"/>
          <w:lang w:val="en-GB"/>
        </w:rPr>
        <w:t xml:space="preserve"> the </w:t>
      </w:r>
      <w:r>
        <w:rPr>
          <w:sz w:val="20"/>
          <w:szCs w:val="20"/>
          <w:lang w:val="en-GB"/>
        </w:rPr>
        <w:t>cheese is safe according to GFL?</w:t>
      </w:r>
    </w:p>
    <w:p w:rsidR="00104E5A" w:rsidRDefault="00104E5A" w:rsidP="002C4ECA">
      <w:pPr>
        <w:rPr>
          <w:b/>
          <w:sz w:val="20"/>
          <w:szCs w:val="20"/>
          <w:lang w:val="en-GB"/>
        </w:rPr>
      </w:pPr>
      <w:r w:rsidRPr="00104E5A">
        <w:rPr>
          <w:b/>
          <w:sz w:val="20"/>
          <w:szCs w:val="20"/>
          <w:lang w:val="en-GB"/>
        </w:rPr>
        <w:t>Law:</w:t>
      </w:r>
    </w:p>
    <w:p w:rsidR="005D7F2F" w:rsidRPr="00BD3AC1" w:rsidRDefault="005D7F2F" w:rsidP="005D7F2F">
      <w:pPr>
        <w:jc w:val="both"/>
        <w:rPr>
          <w:sz w:val="20"/>
          <w:szCs w:val="20"/>
          <w:lang w:val="en-GB"/>
        </w:rPr>
      </w:pPr>
      <w:r w:rsidRPr="00BD3AC1">
        <w:rPr>
          <w:sz w:val="20"/>
          <w:szCs w:val="20"/>
          <w:lang w:val="en-GB"/>
        </w:rPr>
        <w:t>The team identifies the relevant piece of legislation:</w:t>
      </w:r>
    </w:p>
    <w:p w:rsidR="005D7F2F" w:rsidRPr="00BD3AC1" w:rsidRDefault="005D7F2F" w:rsidP="005D7F2F">
      <w:pPr>
        <w:widowControl w:val="0"/>
        <w:numPr>
          <w:ilvl w:val="0"/>
          <w:numId w:val="14"/>
        </w:numPr>
        <w:suppressAutoHyphens/>
        <w:spacing w:after="0" w:line="240" w:lineRule="auto"/>
        <w:jc w:val="both"/>
        <w:rPr>
          <w:sz w:val="20"/>
          <w:szCs w:val="20"/>
          <w:lang w:val="en-GB"/>
        </w:rPr>
      </w:pPr>
      <w:r w:rsidRPr="00BD3AC1">
        <w:rPr>
          <w:sz w:val="20"/>
          <w:szCs w:val="20"/>
          <w:lang w:val="en-GB"/>
        </w:rPr>
        <w:t>GFL, article 2 “cheese” falls within the definition of “food”</w:t>
      </w:r>
    </w:p>
    <w:p w:rsidR="005D7F2F" w:rsidRPr="00BD3AC1" w:rsidRDefault="005D7F2F" w:rsidP="005D7F2F">
      <w:pPr>
        <w:widowControl w:val="0"/>
        <w:numPr>
          <w:ilvl w:val="0"/>
          <w:numId w:val="14"/>
        </w:numPr>
        <w:suppressAutoHyphens/>
        <w:spacing w:after="0" w:line="240" w:lineRule="auto"/>
        <w:jc w:val="both"/>
        <w:rPr>
          <w:sz w:val="20"/>
          <w:szCs w:val="20"/>
          <w:lang w:val="en-GB"/>
        </w:rPr>
      </w:pPr>
      <w:r w:rsidRPr="00BD3AC1">
        <w:rPr>
          <w:sz w:val="20"/>
          <w:szCs w:val="20"/>
          <w:lang w:val="en-GB"/>
        </w:rPr>
        <w:t>GFL, article 14, food must be safe. Food is unsafe in injurious to health or unfit for human consumption:</w:t>
      </w:r>
    </w:p>
    <w:p w:rsidR="005D7F2F" w:rsidRPr="00BD3AC1" w:rsidRDefault="005D7F2F" w:rsidP="005D7F2F">
      <w:pPr>
        <w:widowControl w:val="0"/>
        <w:numPr>
          <w:ilvl w:val="2"/>
          <w:numId w:val="14"/>
        </w:numPr>
        <w:suppressAutoHyphens/>
        <w:spacing w:after="0" w:line="240" w:lineRule="auto"/>
        <w:jc w:val="both"/>
        <w:rPr>
          <w:sz w:val="20"/>
          <w:szCs w:val="20"/>
          <w:lang w:val="en-GB"/>
        </w:rPr>
      </w:pPr>
      <w:r w:rsidRPr="00BD3AC1">
        <w:rPr>
          <w:sz w:val="20"/>
          <w:szCs w:val="20"/>
          <w:lang w:val="en-GB"/>
        </w:rPr>
        <w:t>14.4. In determining whether any food is injurious to health, regard shall be had:</w:t>
      </w:r>
    </w:p>
    <w:p w:rsidR="005D7F2F" w:rsidRPr="00BD3AC1" w:rsidRDefault="005D7F2F" w:rsidP="005D7F2F">
      <w:pPr>
        <w:ind w:left="1418"/>
        <w:jc w:val="both"/>
        <w:rPr>
          <w:sz w:val="20"/>
          <w:szCs w:val="20"/>
          <w:lang w:val="en-GB"/>
        </w:rPr>
      </w:pPr>
      <w:r w:rsidRPr="00BD3AC1">
        <w:rPr>
          <w:sz w:val="20"/>
          <w:szCs w:val="20"/>
          <w:lang w:val="en-GB"/>
        </w:rPr>
        <w:t>(a) not only to the probable immediate and/or short-term and/or long-term effects of that food on the health of a person consuming it, but also on subsequent generations;</w:t>
      </w:r>
    </w:p>
    <w:p w:rsidR="005D7F2F" w:rsidRPr="00BD3AC1" w:rsidRDefault="005D7F2F" w:rsidP="005D7F2F">
      <w:pPr>
        <w:ind w:left="1418"/>
        <w:jc w:val="both"/>
        <w:rPr>
          <w:sz w:val="20"/>
          <w:szCs w:val="20"/>
          <w:lang w:val="en-GB"/>
        </w:rPr>
      </w:pPr>
      <w:r w:rsidRPr="00BD3AC1">
        <w:rPr>
          <w:sz w:val="20"/>
          <w:szCs w:val="20"/>
          <w:lang w:val="en-GB"/>
        </w:rPr>
        <w:t>(b) to the probable cumulative toxic effects;</w:t>
      </w:r>
    </w:p>
    <w:p w:rsidR="005D7F2F" w:rsidRPr="00BD3AC1" w:rsidRDefault="005D7F2F" w:rsidP="005D7F2F">
      <w:pPr>
        <w:ind w:left="1418"/>
        <w:jc w:val="both"/>
        <w:rPr>
          <w:sz w:val="20"/>
          <w:szCs w:val="20"/>
          <w:lang w:val="en-GB"/>
        </w:rPr>
      </w:pPr>
      <w:r w:rsidRPr="00BD3AC1">
        <w:rPr>
          <w:sz w:val="20"/>
          <w:szCs w:val="20"/>
          <w:lang w:val="en-GB"/>
        </w:rPr>
        <w:t>(c) to the particular health sensitivities of a specific category of consumers where the food is intended for that category of consumers</w:t>
      </w:r>
    </w:p>
    <w:p w:rsidR="005D7F2F" w:rsidRPr="00BD3AC1" w:rsidRDefault="005D7F2F" w:rsidP="005D7F2F">
      <w:pPr>
        <w:widowControl w:val="0"/>
        <w:numPr>
          <w:ilvl w:val="1"/>
          <w:numId w:val="15"/>
        </w:numPr>
        <w:suppressAutoHyphens/>
        <w:spacing w:after="0" w:line="240" w:lineRule="auto"/>
        <w:jc w:val="both"/>
        <w:rPr>
          <w:sz w:val="20"/>
          <w:szCs w:val="20"/>
          <w:lang w:val="en-GB"/>
        </w:rPr>
      </w:pPr>
      <w:r w:rsidRPr="00BD3AC1">
        <w:rPr>
          <w:sz w:val="20"/>
          <w:szCs w:val="20"/>
          <w:lang w:val="en-GB"/>
        </w:rPr>
        <w:t>14.5. In determining whether any food is unfit for human</w:t>
      </w:r>
    </w:p>
    <w:p w:rsidR="005D7F2F" w:rsidRPr="00BD3AC1" w:rsidRDefault="005D7F2F" w:rsidP="005D7F2F">
      <w:pPr>
        <w:ind w:left="1418"/>
        <w:jc w:val="both"/>
        <w:rPr>
          <w:sz w:val="20"/>
          <w:szCs w:val="20"/>
          <w:lang w:val="en-GB"/>
        </w:rPr>
      </w:pPr>
      <w:r w:rsidRPr="00BD3AC1">
        <w:rPr>
          <w:sz w:val="20"/>
          <w:szCs w:val="20"/>
          <w:lang w:val="en-GB"/>
        </w:rPr>
        <w:t>consumption, regard shall be had to whether the food is unacceptable for human consumption according to its intended use, for reasons of contamination, whether by extraneous matter or otherwise, or through putrefaction, deterioration or decay.</w:t>
      </w:r>
    </w:p>
    <w:p w:rsidR="005D7F2F" w:rsidRPr="00BD3AC1" w:rsidRDefault="005D7F2F" w:rsidP="005D7F2F">
      <w:pPr>
        <w:jc w:val="both"/>
        <w:rPr>
          <w:i/>
          <w:iCs/>
          <w:sz w:val="20"/>
          <w:szCs w:val="20"/>
          <w:lang w:val="en-GB"/>
        </w:rPr>
      </w:pPr>
      <w:r w:rsidRPr="00BD3AC1">
        <w:rPr>
          <w:sz w:val="20"/>
          <w:szCs w:val="20"/>
          <w:lang w:val="en-GB"/>
        </w:rPr>
        <w:t xml:space="preserve">The team uses sources of information such as case law or papers to describe when a food in considered unsafe. The team </w:t>
      </w:r>
      <w:proofErr w:type="spellStart"/>
      <w:r w:rsidRPr="00BD3AC1">
        <w:rPr>
          <w:sz w:val="20"/>
          <w:szCs w:val="20"/>
          <w:lang w:val="en-GB"/>
        </w:rPr>
        <w:t>analyzes</w:t>
      </w:r>
      <w:proofErr w:type="spellEnd"/>
      <w:r w:rsidRPr="00BD3AC1">
        <w:rPr>
          <w:sz w:val="20"/>
          <w:szCs w:val="20"/>
          <w:lang w:val="en-GB"/>
        </w:rPr>
        <w:t xml:space="preserve"> the concept of “unfit for human consumption.” </w:t>
      </w:r>
      <w:proofErr w:type="spellStart"/>
      <w:r w:rsidRPr="00BD3AC1">
        <w:rPr>
          <w:sz w:val="20"/>
          <w:szCs w:val="20"/>
          <w:lang w:val="en-GB"/>
        </w:rPr>
        <w:t>F.i</w:t>
      </w:r>
      <w:proofErr w:type="spellEnd"/>
      <w:r w:rsidRPr="00BD3AC1">
        <w:rPr>
          <w:sz w:val="20"/>
          <w:szCs w:val="20"/>
          <w:lang w:val="en-GB"/>
        </w:rPr>
        <w:t xml:space="preserve">. EU COM guidelines on GFL, that state that: </w:t>
      </w:r>
    </w:p>
    <w:p w:rsidR="005D7F2F" w:rsidRPr="00BD3AC1" w:rsidRDefault="005D7F2F" w:rsidP="005D7F2F">
      <w:pPr>
        <w:ind w:left="709"/>
        <w:jc w:val="both"/>
        <w:rPr>
          <w:sz w:val="20"/>
          <w:szCs w:val="20"/>
          <w:lang w:val="en-GB"/>
        </w:rPr>
      </w:pPr>
      <w:r w:rsidRPr="00BD3AC1">
        <w:rPr>
          <w:i/>
          <w:iCs/>
          <w:sz w:val="20"/>
          <w:szCs w:val="20"/>
          <w:lang w:val="en-GB"/>
        </w:rPr>
        <w:t xml:space="preserve">The central concept of unfitness is unacceptability. Food can be rendered unfit by reason of contamination, such as that caused by a high level of non-pathogenic microbiological contamination (see Article 14(3) and (5) of the Regulation), by the presence of foreign objects, by unacceptable taste or </w:t>
      </w:r>
      <w:proofErr w:type="spellStart"/>
      <w:r w:rsidRPr="00BD3AC1">
        <w:rPr>
          <w:i/>
          <w:iCs/>
          <w:sz w:val="20"/>
          <w:szCs w:val="20"/>
          <w:lang w:val="en-GB"/>
        </w:rPr>
        <w:t>odor</w:t>
      </w:r>
      <w:proofErr w:type="spellEnd"/>
      <w:r w:rsidRPr="00BD3AC1">
        <w:rPr>
          <w:i/>
          <w:iCs/>
          <w:sz w:val="20"/>
          <w:szCs w:val="20"/>
          <w:lang w:val="en-GB"/>
        </w:rPr>
        <w:t xml:space="preserve"> as well as by more obvious detrimental deterioration such as putrefaction or decomposition.</w:t>
      </w:r>
    </w:p>
    <w:p w:rsidR="00D62402" w:rsidRPr="00BD3AC1" w:rsidRDefault="00D62402" w:rsidP="005D7F2F">
      <w:pPr>
        <w:jc w:val="both"/>
        <w:rPr>
          <w:sz w:val="20"/>
          <w:szCs w:val="20"/>
          <w:lang w:val="en-GB"/>
        </w:rPr>
      </w:pPr>
    </w:p>
    <w:p w:rsidR="00C04348" w:rsidRPr="00BD3AC1" w:rsidRDefault="00C04348" w:rsidP="005D7F2F">
      <w:pPr>
        <w:jc w:val="both"/>
        <w:rPr>
          <w:color w:val="4472C4" w:themeColor="accent1"/>
          <w:sz w:val="20"/>
          <w:szCs w:val="20"/>
          <w:lang w:val="en-GB"/>
        </w:rPr>
      </w:pPr>
      <w:r w:rsidRPr="00BD3AC1">
        <w:rPr>
          <w:color w:val="4472C4" w:themeColor="accent1"/>
          <w:sz w:val="20"/>
          <w:szCs w:val="20"/>
          <w:lang w:val="en-GB"/>
        </w:rPr>
        <w:t>Additional (</w:t>
      </w:r>
      <w:r w:rsidR="00D62402" w:rsidRPr="00BD3AC1">
        <w:rPr>
          <w:color w:val="4472C4" w:themeColor="accent1"/>
          <w:sz w:val="20"/>
          <w:szCs w:val="20"/>
          <w:lang w:val="en-GB"/>
        </w:rPr>
        <w:t xml:space="preserve">authorities are </w:t>
      </w:r>
      <w:r w:rsidRPr="00BD3AC1">
        <w:rPr>
          <w:color w:val="4472C4" w:themeColor="accent1"/>
          <w:sz w:val="20"/>
          <w:szCs w:val="20"/>
          <w:lang w:val="en-GB"/>
        </w:rPr>
        <w:t>uncertain about how to proceed)</w:t>
      </w:r>
      <w:r w:rsidR="00D62402" w:rsidRPr="00BD3AC1">
        <w:rPr>
          <w:color w:val="4472C4" w:themeColor="accent1"/>
          <w:sz w:val="20"/>
          <w:szCs w:val="20"/>
          <w:lang w:val="en-GB"/>
        </w:rPr>
        <w:t>:</w:t>
      </w:r>
    </w:p>
    <w:p w:rsidR="00D62402" w:rsidRPr="00BD3AC1" w:rsidRDefault="00D62402" w:rsidP="00D62402">
      <w:pPr>
        <w:pStyle w:val="ListParagraph"/>
        <w:numPr>
          <w:ilvl w:val="0"/>
          <w:numId w:val="8"/>
        </w:numPr>
        <w:jc w:val="both"/>
        <w:rPr>
          <w:color w:val="4472C4" w:themeColor="accent1"/>
          <w:sz w:val="20"/>
          <w:szCs w:val="20"/>
          <w:lang w:val="en-GB"/>
        </w:rPr>
      </w:pPr>
      <w:r w:rsidRPr="00BD3AC1">
        <w:rPr>
          <w:color w:val="4472C4" w:themeColor="accent1"/>
          <w:sz w:val="20"/>
          <w:szCs w:val="20"/>
          <w:lang w:val="en-GB"/>
        </w:rPr>
        <w:t>GFL, art 17.2, MS should enforce food law, monitor and verify compliance</w:t>
      </w:r>
    </w:p>
    <w:p w:rsidR="00D62402" w:rsidRPr="00D62402" w:rsidRDefault="00D62402" w:rsidP="00D62402">
      <w:pPr>
        <w:pStyle w:val="ListParagraph"/>
        <w:numPr>
          <w:ilvl w:val="0"/>
          <w:numId w:val="8"/>
        </w:numPr>
        <w:jc w:val="both"/>
        <w:rPr>
          <w:color w:val="4472C4" w:themeColor="accent1"/>
          <w:sz w:val="20"/>
          <w:szCs w:val="20"/>
        </w:rPr>
      </w:pPr>
      <w:r w:rsidRPr="00D62402">
        <w:rPr>
          <w:color w:val="4472C4" w:themeColor="accent1"/>
          <w:sz w:val="20"/>
          <w:szCs w:val="20"/>
        </w:rPr>
        <w:t xml:space="preserve">GFL, art 10, </w:t>
      </w:r>
      <w:proofErr w:type="spellStart"/>
      <w:r w:rsidRPr="00D62402">
        <w:rPr>
          <w:color w:val="4472C4" w:themeColor="accent1"/>
          <w:sz w:val="20"/>
          <w:szCs w:val="20"/>
        </w:rPr>
        <w:t>Public</w:t>
      </w:r>
      <w:proofErr w:type="spellEnd"/>
      <w:r w:rsidRPr="00D62402">
        <w:rPr>
          <w:color w:val="4472C4" w:themeColor="accent1"/>
          <w:sz w:val="20"/>
          <w:szCs w:val="20"/>
        </w:rPr>
        <w:t xml:space="preserve"> </w:t>
      </w:r>
      <w:proofErr w:type="spellStart"/>
      <w:r w:rsidRPr="00D62402">
        <w:rPr>
          <w:color w:val="4472C4" w:themeColor="accent1"/>
          <w:sz w:val="20"/>
          <w:szCs w:val="20"/>
        </w:rPr>
        <w:t>information</w:t>
      </w:r>
      <w:proofErr w:type="spellEnd"/>
      <w:r w:rsidRPr="00D62402">
        <w:rPr>
          <w:color w:val="4472C4" w:themeColor="accent1"/>
          <w:sz w:val="20"/>
          <w:szCs w:val="20"/>
        </w:rPr>
        <w:t xml:space="preserve"> </w:t>
      </w:r>
    </w:p>
    <w:p w:rsidR="00D62402" w:rsidRPr="00BD3AC1" w:rsidRDefault="00D62402" w:rsidP="00D62402">
      <w:pPr>
        <w:pStyle w:val="ListParagraph"/>
        <w:numPr>
          <w:ilvl w:val="0"/>
          <w:numId w:val="8"/>
        </w:numPr>
        <w:jc w:val="both"/>
        <w:rPr>
          <w:color w:val="4472C4" w:themeColor="accent1"/>
          <w:sz w:val="20"/>
          <w:szCs w:val="20"/>
          <w:lang w:val="en-GB"/>
        </w:rPr>
      </w:pPr>
      <w:r w:rsidRPr="00BD3AC1">
        <w:rPr>
          <w:color w:val="4472C4" w:themeColor="accent1"/>
          <w:sz w:val="20"/>
          <w:szCs w:val="20"/>
          <w:lang w:val="en-GB"/>
        </w:rPr>
        <w:t xml:space="preserve">The team links this case to the Berger case that is in the reader but has been not been </w:t>
      </w:r>
      <w:proofErr w:type="spellStart"/>
      <w:r w:rsidRPr="00BD3AC1">
        <w:rPr>
          <w:color w:val="4472C4" w:themeColor="accent1"/>
          <w:sz w:val="20"/>
          <w:szCs w:val="20"/>
          <w:lang w:val="en-GB"/>
        </w:rPr>
        <w:t>analyzed</w:t>
      </w:r>
      <w:proofErr w:type="spellEnd"/>
      <w:r w:rsidRPr="00BD3AC1">
        <w:rPr>
          <w:color w:val="4472C4" w:themeColor="accent1"/>
          <w:sz w:val="20"/>
          <w:szCs w:val="20"/>
          <w:lang w:val="en-GB"/>
        </w:rPr>
        <w:t xml:space="preserve"> in the lecture. </w:t>
      </w:r>
    </w:p>
    <w:p w:rsidR="00D62402" w:rsidRPr="00BD3AC1" w:rsidRDefault="00D62402" w:rsidP="00D62402">
      <w:pPr>
        <w:ind w:left="360"/>
        <w:jc w:val="both"/>
        <w:rPr>
          <w:sz w:val="20"/>
          <w:szCs w:val="20"/>
          <w:lang w:val="en-GB"/>
        </w:rPr>
      </w:pPr>
    </w:p>
    <w:p w:rsidR="005D7F2F" w:rsidRPr="00BD3AC1" w:rsidRDefault="005D7F2F" w:rsidP="005D7F2F">
      <w:pPr>
        <w:jc w:val="both"/>
        <w:rPr>
          <w:b/>
          <w:sz w:val="20"/>
          <w:szCs w:val="20"/>
          <w:lang w:val="en-GB"/>
        </w:rPr>
      </w:pPr>
      <w:r w:rsidRPr="00BD3AC1">
        <w:rPr>
          <w:b/>
          <w:sz w:val="20"/>
          <w:szCs w:val="20"/>
          <w:lang w:val="en-GB"/>
        </w:rPr>
        <w:t>Application:</w:t>
      </w:r>
    </w:p>
    <w:p w:rsidR="00954B15" w:rsidRPr="00BD3AC1" w:rsidRDefault="00954B15" w:rsidP="00954B15">
      <w:pPr>
        <w:jc w:val="both"/>
        <w:rPr>
          <w:sz w:val="20"/>
          <w:szCs w:val="20"/>
          <w:lang w:val="en-GB"/>
        </w:rPr>
      </w:pPr>
      <w:r w:rsidRPr="00BD3AC1">
        <w:rPr>
          <w:sz w:val="20"/>
          <w:szCs w:val="20"/>
          <w:lang w:val="en-GB"/>
        </w:rPr>
        <w:t>The team discusses if the product that is not injurious to health should be considered unfit for human consumption because of its odour or visual aspect:</w:t>
      </w:r>
    </w:p>
    <w:p w:rsidR="00954B15" w:rsidRPr="00BD3AC1" w:rsidRDefault="00954B15" w:rsidP="00954B15">
      <w:pPr>
        <w:ind w:left="360"/>
        <w:jc w:val="both"/>
        <w:rPr>
          <w:sz w:val="20"/>
          <w:szCs w:val="20"/>
          <w:lang w:val="en-GB"/>
        </w:rPr>
      </w:pPr>
      <w:r w:rsidRPr="00BD3AC1">
        <w:rPr>
          <w:sz w:val="20"/>
          <w:szCs w:val="20"/>
          <w:lang w:val="en-GB"/>
        </w:rPr>
        <w:t xml:space="preserve">• </w:t>
      </w:r>
      <w:r w:rsidRPr="00BD3AC1">
        <w:rPr>
          <w:sz w:val="20"/>
          <w:szCs w:val="20"/>
          <w:lang w:val="en-GB"/>
        </w:rPr>
        <w:tab/>
        <w:t>Odour might not indicate anything as it is a cheese that has an intense smell.</w:t>
      </w:r>
    </w:p>
    <w:p w:rsidR="00954B15" w:rsidRPr="00954B15" w:rsidRDefault="00954B15" w:rsidP="00954B15">
      <w:pPr>
        <w:pStyle w:val="ListParagraph"/>
        <w:numPr>
          <w:ilvl w:val="0"/>
          <w:numId w:val="8"/>
        </w:numPr>
        <w:jc w:val="both"/>
        <w:rPr>
          <w:sz w:val="20"/>
          <w:szCs w:val="20"/>
        </w:rPr>
      </w:pPr>
      <w:r w:rsidRPr="00BD3AC1">
        <w:rPr>
          <w:sz w:val="20"/>
          <w:szCs w:val="20"/>
          <w:lang w:val="en-GB"/>
        </w:rPr>
        <w:t>Regarding colour, it might be a problem if the colour is not in the crust of the cheese. Manchego is normally cream or light yellow inside.</w:t>
      </w:r>
      <w:r w:rsidR="00057F3D" w:rsidRPr="00BD3AC1">
        <w:rPr>
          <w:sz w:val="20"/>
          <w:szCs w:val="20"/>
          <w:lang w:val="en-GB"/>
        </w:rPr>
        <w:t xml:space="preserve"> If the authorities are concerned, one might assume the problem is that it is brown on the inside. </w:t>
      </w:r>
      <w:proofErr w:type="spellStart"/>
      <w:r w:rsidR="00057F3D">
        <w:rPr>
          <w:sz w:val="20"/>
          <w:szCs w:val="20"/>
        </w:rPr>
        <w:t>Does</w:t>
      </w:r>
      <w:proofErr w:type="spellEnd"/>
      <w:r w:rsidR="00057F3D">
        <w:rPr>
          <w:sz w:val="20"/>
          <w:szCs w:val="20"/>
        </w:rPr>
        <w:t xml:space="preserve"> </w:t>
      </w:r>
      <w:proofErr w:type="spellStart"/>
      <w:r w:rsidR="00057F3D">
        <w:rPr>
          <w:sz w:val="20"/>
          <w:szCs w:val="20"/>
        </w:rPr>
        <w:t>this</w:t>
      </w:r>
      <w:proofErr w:type="spellEnd"/>
      <w:r w:rsidR="00057F3D">
        <w:rPr>
          <w:sz w:val="20"/>
          <w:szCs w:val="20"/>
        </w:rPr>
        <w:t xml:space="preserve"> </w:t>
      </w:r>
      <w:proofErr w:type="spellStart"/>
      <w:r w:rsidR="00057F3D">
        <w:rPr>
          <w:sz w:val="20"/>
          <w:szCs w:val="20"/>
        </w:rPr>
        <w:t>colour</w:t>
      </w:r>
      <w:proofErr w:type="spellEnd"/>
      <w:r w:rsidR="00057F3D">
        <w:rPr>
          <w:sz w:val="20"/>
          <w:szCs w:val="20"/>
        </w:rPr>
        <w:t xml:space="preserve"> </w:t>
      </w:r>
      <w:proofErr w:type="spellStart"/>
      <w:r w:rsidR="00057F3D">
        <w:rPr>
          <w:sz w:val="20"/>
          <w:szCs w:val="20"/>
        </w:rPr>
        <w:t>entail</w:t>
      </w:r>
      <w:proofErr w:type="spellEnd"/>
      <w:r w:rsidR="00057F3D">
        <w:rPr>
          <w:sz w:val="20"/>
          <w:szCs w:val="20"/>
        </w:rPr>
        <w:t xml:space="preserve"> </w:t>
      </w:r>
      <w:proofErr w:type="spellStart"/>
      <w:r w:rsidR="00057F3D">
        <w:rPr>
          <w:sz w:val="20"/>
          <w:szCs w:val="20"/>
        </w:rPr>
        <w:t>that</w:t>
      </w:r>
      <w:proofErr w:type="spellEnd"/>
      <w:r w:rsidR="00057F3D">
        <w:rPr>
          <w:sz w:val="20"/>
          <w:szCs w:val="20"/>
        </w:rPr>
        <w:t xml:space="preserve"> the </w:t>
      </w:r>
      <w:proofErr w:type="spellStart"/>
      <w:r w:rsidR="00057F3D">
        <w:rPr>
          <w:sz w:val="20"/>
          <w:szCs w:val="20"/>
        </w:rPr>
        <w:t>product</w:t>
      </w:r>
      <w:proofErr w:type="spellEnd"/>
      <w:r w:rsidR="00057F3D">
        <w:rPr>
          <w:sz w:val="20"/>
          <w:szCs w:val="20"/>
        </w:rPr>
        <w:t xml:space="preserve"> </w:t>
      </w:r>
      <w:proofErr w:type="spellStart"/>
      <w:r w:rsidR="00057F3D">
        <w:rPr>
          <w:sz w:val="20"/>
          <w:szCs w:val="20"/>
        </w:rPr>
        <w:t>is</w:t>
      </w:r>
      <w:proofErr w:type="spellEnd"/>
      <w:r w:rsidR="00057F3D">
        <w:rPr>
          <w:sz w:val="20"/>
          <w:szCs w:val="20"/>
        </w:rPr>
        <w:t xml:space="preserve"> </w:t>
      </w:r>
      <w:proofErr w:type="spellStart"/>
      <w:r w:rsidR="00057F3D">
        <w:rPr>
          <w:sz w:val="20"/>
          <w:szCs w:val="20"/>
        </w:rPr>
        <w:t>unsafe</w:t>
      </w:r>
      <w:proofErr w:type="spellEnd"/>
      <w:r w:rsidR="00057F3D">
        <w:rPr>
          <w:sz w:val="20"/>
          <w:szCs w:val="20"/>
        </w:rPr>
        <w:t>?</w:t>
      </w:r>
    </w:p>
    <w:p w:rsidR="005D7F2F" w:rsidRPr="00BD3AC1" w:rsidRDefault="00057F3D" w:rsidP="00057F3D">
      <w:pPr>
        <w:pStyle w:val="ListParagraph"/>
        <w:numPr>
          <w:ilvl w:val="0"/>
          <w:numId w:val="12"/>
        </w:numPr>
        <w:jc w:val="both"/>
        <w:rPr>
          <w:sz w:val="20"/>
          <w:szCs w:val="20"/>
          <w:lang w:val="en-GB"/>
        </w:rPr>
      </w:pPr>
      <w:r w:rsidRPr="00BD3AC1">
        <w:rPr>
          <w:sz w:val="20"/>
          <w:szCs w:val="20"/>
          <w:lang w:val="en-GB"/>
        </w:rPr>
        <w:t>If students consider that colour is relevant for the consumer to the point to determine its cheese selection, the wrong colour</w:t>
      </w:r>
      <w:r w:rsidR="00954B15" w:rsidRPr="00BD3AC1">
        <w:rPr>
          <w:sz w:val="20"/>
          <w:szCs w:val="20"/>
          <w:lang w:val="en-GB"/>
        </w:rPr>
        <w:t xml:space="preserve"> should lead to consider the product unacceptable and therefore </w:t>
      </w:r>
      <w:r w:rsidR="00954B15" w:rsidRPr="00BD3AC1">
        <w:rPr>
          <w:b/>
          <w:sz w:val="20"/>
          <w:szCs w:val="20"/>
          <w:lang w:val="en-GB"/>
        </w:rPr>
        <w:t>unfit for human consumption</w:t>
      </w:r>
      <w:r w:rsidR="00954B15" w:rsidRPr="00BD3AC1">
        <w:rPr>
          <w:sz w:val="20"/>
          <w:szCs w:val="20"/>
          <w:lang w:val="en-GB"/>
        </w:rPr>
        <w:t>.</w:t>
      </w:r>
    </w:p>
    <w:p w:rsidR="00057F3D" w:rsidRPr="00BD3AC1" w:rsidRDefault="00057F3D" w:rsidP="00057F3D">
      <w:pPr>
        <w:pStyle w:val="ListParagraph"/>
        <w:numPr>
          <w:ilvl w:val="0"/>
          <w:numId w:val="12"/>
        </w:numPr>
        <w:jc w:val="both"/>
        <w:rPr>
          <w:sz w:val="20"/>
          <w:szCs w:val="20"/>
          <w:lang w:val="en-GB"/>
        </w:rPr>
      </w:pPr>
      <w:r w:rsidRPr="00BD3AC1">
        <w:rPr>
          <w:sz w:val="20"/>
          <w:szCs w:val="20"/>
          <w:lang w:val="en-GB"/>
        </w:rPr>
        <w:t>Could the colour be consequence of a problem? Not correctly processed as should have or wrong ingredients?</w:t>
      </w:r>
    </w:p>
    <w:p w:rsidR="00057F3D" w:rsidRPr="00BD3AC1" w:rsidRDefault="00057F3D" w:rsidP="00057F3D">
      <w:pPr>
        <w:pStyle w:val="ListParagraph"/>
        <w:numPr>
          <w:ilvl w:val="1"/>
          <w:numId w:val="12"/>
        </w:numPr>
        <w:jc w:val="both"/>
        <w:rPr>
          <w:sz w:val="20"/>
          <w:szCs w:val="20"/>
          <w:lang w:val="en-GB"/>
        </w:rPr>
      </w:pPr>
      <w:r w:rsidRPr="00BD3AC1">
        <w:rPr>
          <w:sz w:val="20"/>
          <w:szCs w:val="20"/>
          <w:lang w:val="en-GB"/>
        </w:rPr>
        <w:t xml:space="preserve">Injurious for human health if the resulting cheese </w:t>
      </w:r>
    </w:p>
    <w:p w:rsidR="00057F3D" w:rsidRDefault="00057F3D" w:rsidP="00057F3D">
      <w:pPr>
        <w:pStyle w:val="ListParagraph"/>
        <w:numPr>
          <w:ilvl w:val="1"/>
          <w:numId w:val="12"/>
        </w:numPr>
        <w:jc w:val="both"/>
        <w:rPr>
          <w:sz w:val="20"/>
          <w:szCs w:val="20"/>
        </w:rPr>
      </w:pPr>
      <w:proofErr w:type="spellStart"/>
      <w:r>
        <w:rPr>
          <w:sz w:val="20"/>
          <w:szCs w:val="20"/>
        </w:rPr>
        <w:t>Unfit</w:t>
      </w:r>
      <w:proofErr w:type="spellEnd"/>
      <w:r>
        <w:rPr>
          <w:sz w:val="20"/>
          <w:szCs w:val="20"/>
        </w:rPr>
        <w:t xml:space="preserve"> </w:t>
      </w:r>
      <w:proofErr w:type="spellStart"/>
      <w:r>
        <w:rPr>
          <w:sz w:val="20"/>
          <w:szCs w:val="20"/>
        </w:rPr>
        <w:t>for</w:t>
      </w:r>
      <w:proofErr w:type="spellEnd"/>
      <w:r>
        <w:rPr>
          <w:sz w:val="20"/>
          <w:szCs w:val="20"/>
        </w:rPr>
        <w:t xml:space="preserve"> human </w:t>
      </w:r>
      <w:proofErr w:type="spellStart"/>
      <w:r>
        <w:rPr>
          <w:sz w:val="20"/>
          <w:szCs w:val="20"/>
        </w:rPr>
        <w:t>consumption</w:t>
      </w:r>
      <w:proofErr w:type="spellEnd"/>
    </w:p>
    <w:p w:rsidR="002857C9" w:rsidRPr="00146539" w:rsidRDefault="002857C9" w:rsidP="00146539">
      <w:pPr>
        <w:rPr>
          <w:color w:val="4472C4" w:themeColor="accent1"/>
          <w:sz w:val="20"/>
          <w:szCs w:val="20"/>
          <w:lang w:val="en-GB"/>
        </w:rPr>
      </w:pPr>
      <w:r w:rsidRPr="00146539">
        <w:rPr>
          <w:color w:val="4472C4" w:themeColor="accent1"/>
          <w:sz w:val="20"/>
          <w:szCs w:val="20"/>
          <w:lang w:val="en-GB"/>
        </w:rPr>
        <w:t>Additional (authorities uncertain about how to proceed):</w:t>
      </w:r>
    </w:p>
    <w:p w:rsidR="00D62402" w:rsidRPr="00D62402" w:rsidRDefault="00D62402" w:rsidP="00D62402">
      <w:pPr>
        <w:pStyle w:val="ListParagraph"/>
        <w:numPr>
          <w:ilvl w:val="0"/>
          <w:numId w:val="8"/>
        </w:numPr>
        <w:rPr>
          <w:color w:val="4472C4" w:themeColor="accent1"/>
          <w:sz w:val="20"/>
          <w:szCs w:val="20"/>
          <w:lang w:val="en-GB"/>
        </w:rPr>
      </w:pPr>
      <w:r w:rsidRPr="00D62402">
        <w:rPr>
          <w:color w:val="4472C4" w:themeColor="accent1"/>
          <w:sz w:val="20"/>
          <w:szCs w:val="20"/>
          <w:lang w:val="en-GB"/>
        </w:rPr>
        <w:t>In application of Berger case, authorities may inform the public if reasonable grounds to suspect unsafe (injurious or unfit).</w:t>
      </w:r>
    </w:p>
    <w:p w:rsidR="00D62402" w:rsidRPr="00D62402" w:rsidRDefault="00D62402" w:rsidP="00D62402">
      <w:pPr>
        <w:pStyle w:val="ListParagraph"/>
        <w:numPr>
          <w:ilvl w:val="0"/>
          <w:numId w:val="8"/>
        </w:numPr>
        <w:rPr>
          <w:color w:val="4472C4" w:themeColor="accent1"/>
          <w:sz w:val="20"/>
          <w:szCs w:val="20"/>
          <w:lang w:val="en-GB"/>
        </w:rPr>
      </w:pPr>
      <w:r w:rsidRPr="00D62402">
        <w:rPr>
          <w:color w:val="4472C4" w:themeColor="accent1"/>
          <w:sz w:val="20"/>
          <w:szCs w:val="20"/>
          <w:lang w:val="en-GB"/>
        </w:rPr>
        <w:t>In application of art. 10, authorities should inform if useful to prevent, reduce or eliminate risk. Hence, if the food is not yet in the market there might be no reasons to inform the public.</w:t>
      </w:r>
    </w:p>
    <w:p w:rsidR="002857C9" w:rsidRPr="002857C9" w:rsidRDefault="002857C9" w:rsidP="002857C9">
      <w:pPr>
        <w:rPr>
          <w:sz w:val="20"/>
          <w:szCs w:val="20"/>
          <w:lang w:val="en-GB"/>
        </w:rPr>
      </w:pPr>
    </w:p>
    <w:p w:rsidR="00D62402" w:rsidRDefault="00D62402">
      <w:pPr>
        <w:rPr>
          <w:b/>
          <w:sz w:val="20"/>
          <w:szCs w:val="20"/>
          <w:lang w:val="en-GB"/>
        </w:rPr>
      </w:pPr>
      <w:r>
        <w:rPr>
          <w:b/>
          <w:sz w:val="20"/>
          <w:szCs w:val="20"/>
          <w:lang w:val="en-GB"/>
        </w:rPr>
        <w:t>Conclusion:</w:t>
      </w:r>
    </w:p>
    <w:p w:rsidR="00D62402" w:rsidRDefault="00D62402">
      <w:pPr>
        <w:rPr>
          <w:sz w:val="20"/>
          <w:szCs w:val="20"/>
          <w:lang w:val="en-GB"/>
        </w:rPr>
      </w:pPr>
      <w:r>
        <w:rPr>
          <w:sz w:val="20"/>
          <w:szCs w:val="20"/>
          <w:lang w:val="en-GB"/>
        </w:rPr>
        <w:t>The food is/not unsafe because it is/not injurious to health or unfit for human consumption.</w:t>
      </w:r>
    </w:p>
    <w:p w:rsidR="00D62402" w:rsidRDefault="00D62402">
      <w:pPr>
        <w:rPr>
          <w:b/>
          <w:sz w:val="20"/>
          <w:szCs w:val="20"/>
          <w:lang w:val="en-GB"/>
        </w:rPr>
      </w:pPr>
      <w:r>
        <w:rPr>
          <w:sz w:val="20"/>
          <w:szCs w:val="20"/>
          <w:lang w:val="en-GB"/>
        </w:rPr>
        <w:t>Authorities should/not inform the public.</w:t>
      </w:r>
      <w:r>
        <w:rPr>
          <w:b/>
          <w:sz w:val="20"/>
          <w:szCs w:val="20"/>
          <w:lang w:val="en-GB"/>
        </w:rPr>
        <w:br w:type="page"/>
      </w:r>
    </w:p>
    <w:p w:rsidR="00C633C8" w:rsidRDefault="00C633C8" w:rsidP="00C633C8">
      <w:pPr>
        <w:jc w:val="both"/>
        <w:rPr>
          <w:b/>
          <w:sz w:val="20"/>
          <w:szCs w:val="20"/>
          <w:lang w:val="en-GB"/>
        </w:rPr>
      </w:pPr>
      <w:r>
        <w:rPr>
          <w:b/>
          <w:sz w:val="20"/>
          <w:szCs w:val="20"/>
          <w:lang w:val="en-GB"/>
        </w:rPr>
        <w:t xml:space="preserve">Annex I - </w:t>
      </w:r>
      <w:r w:rsidRPr="00146539">
        <w:rPr>
          <w:b/>
          <w:sz w:val="20"/>
          <w:szCs w:val="20"/>
          <w:lang w:val="en-GB"/>
        </w:rPr>
        <w:t>Difference</w:t>
      </w:r>
      <w:r w:rsidR="00146539">
        <w:rPr>
          <w:b/>
          <w:sz w:val="20"/>
          <w:szCs w:val="20"/>
          <w:lang w:val="en-GB"/>
        </w:rPr>
        <w:t>s</w:t>
      </w:r>
      <w:r w:rsidRPr="00146539">
        <w:rPr>
          <w:b/>
          <w:sz w:val="20"/>
          <w:szCs w:val="20"/>
          <w:lang w:val="en-GB"/>
        </w:rPr>
        <w:t xml:space="preserve"> between the real case and the question in the legal brief:</w:t>
      </w:r>
    </w:p>
    <w:p w:rsidR="00146539" w:rsidRDefault="00146539" w:rsidP="00C633C8">
      <w:pPr>
        <w:jc w:val="both"/>
        <w:rPr>
          <w:b/>
          <w:sz w:val="20"/>
          <w:szCs w:val="20"/>
          <w:lang w:val="en-GB"/>
        </w:rPr>
      </w:pPr>
    </w:p>
    <w:p w:rsidR="00146539" w:rsidRDefault="00146539" w:rsidP="00146539">
      <w:pPr>
        <w:pBdr>
          <w:top w:val="single" w:sz="4" w:space="1" w:color="auto"/>
          <w:left w:val="single" w:sz="4" w:space="4" w:color="auto"/>
          <w:bottom w:val="single" w:sz="4" w:space="1" w:color="auto"/>
          <w:right w:val="single" w:sz="4" w:space="4" w:color="auto"/>
        </w:pBdr>
        <w:jc w:val="both"/>
        <w:rPr>
          <w:sz w:val="20"/>
          <w:szCs w:val="20"/>
          <w:lang w:val="en-GB"/>
        </w:rPr>
      </w:pPr>
      <w:r>
        <w:rPr>
          <w:sz w:val="20"/>
          <w:szCs w:val="20"/>
          <w:lang w:val="en-GB"/>
        </w:rPr>
        <w:t>S</w:t>
      </w:r>
      <w:r w:rsidR="00C633C8" w:rsidRPr="00C633C8">
        <w:rPr>
          <w:sz w:val="20"/>
          <w:szCs w:val="20"/>
          <w:lang w:val="en-GB"/>
        </w:rPr>
        <w:t>ee the Spanish law and the Courts judgement:</w:t>
      </w:r>
    </w:p>
    <w:p w:rsidR="00146539" w:rsidRDefault="00C633C8" w:rsidP="00146539">
      <w:pPr>
        <w:pBdr>
          <w:top w:val="single" w:sz="4" w:space="1" w:color="auto"/>
          <w:left w:val="single" w:sz="4" w:space="4" w:color="auto"/>
          <w:bottom w:val="single" w:sz="4" w:space="1" w:color="auto"/>
          <w:right w:val="single" w:sz="4" w:space="4" w:color="auto"/>
        </w:pBdr>
        <w:jc w:val="both"/>
        <w:rPr>
          <w:sz w:val="20"/>
          <w:szCs w:val="20"/>
          <w:lang w:val="en-GB"/>
        </w:rPr>
      </w:pPr>
      <w:r w:rsidRPr="00146539">
        <w:rPr>
          <w:sz w:val="20"/>
          <w:szCs w:val="20"/>
          <w:lang w:val="en-GB"/>
        </w:rPr>
        <w:t xml:space="preserve">Judgement on Case 169/17: </w:t>
      </w:r>
    </w:p>
    <w:p w:rsidR="00C633C8" w:rsidRDefault="006F55F5" w:rsidP="00146539">
      <w:pPr>
        <w:pBdr>
          <w:top w:val="single" w:sz="4" w:space="1" w:color="auto"/>
          <w:left w:val="single" w:sz="4" w:space="4" w:color="auto"/>
          <w:bottom w:val="single" w:sz="4" w:space="1" w:color="auto"/>
          <w:right w:val="single" w:sz="4" w:space="4" w:color="auto"/>
        </w:pBdr>
        <w:jc w:val="both"/>
        <w:rPr>
          <w:rStyle w:val="Hyperlink"/>
          <w:sz w:val="20"/>
          <w:szCs w:val="20"/>
          <w:lang w:val="en-GB"/>
        </w:rPr>
      </w:pPr>
      <w:hyperlink r:id="rId10" w:anchor="ctx1" w:history="1">
        <w:r w:rsidR="00146539" w:rsidRPr="00322977">
          <w:rPr>
            <w:rStyle w:val="Hyperlink"/>
            <w:sz w:val="20"/>
            <w:szCs w:val="20"/>
            <w:lang w:val="en-GB"/>
          </w:rPr>
          <w:t>http://curia.europa.eu/juris/document/document.jsf?text=bellota&amp;docid=202942&amp;pageIndex=0&amp;doclang=EN&amp;mode=req&amp;dir=&amp;occ=first&amp;part=1&amp;cid=1958502#ctx1</w:t>
        </w:r>
      </w:hyperlink>
    </w:p>
    <w:p w:rsidR="00146539" w:rsidRDefault="00146539" w:rsidP="00146539">
      <w:pPr>
        <w:pBdr>
          <w:top w:val="single" w:sz="4" w:space="1" w:color="auto"/>
          <w:left w:val="single" w:sz="4" w:space="4" w:color="auto"/>
          <w:bottom w:val="single" w:sz="4" w:space="1" w:color="auto"/>
          <w:right w:val="single" w:sz="4" w:space="4" w:color="auto"/>
        </w:pBdr>
        <w:jc w:val="both"/>
        <w:rPr>
          <w:sz w:val="20"/>
          <w:szCs w:val="20"/>
        </w:rPr>
      </w:pPr>
      <w:r w:rsidRPr="00BD3AC1">
        <w:rPr>
          <w:sz w:val="20"/>
          <w:szCs w:val="20"/>
        </w:rPr>
        <w:t xml:space="preserve">Real Decreto 4/2014 por el que se aprueba la norma de calidad para la carne, el jamón, la paleta y la caña de lomo ibérico (in </w:t>
      </w:r>
      <w:proofErr w:type="spellStart"/>
      <w:r w:rsidRPr="00BD3AC1">
        <w:rPr>
          <w:sz w:val="20"/>
          <w:szCs w:val="20"/>
        </w:rPr>
        <w:t>spanish</w:t>
      </w:r>
      <w:proofErr w:type="spellEnd"/>
      <w:r w:rsidRPr="00BD3AC1">
        <w:rPr>
          <w:sz w:val="20"/>
          <w:szCs w:val="20"/>
        </w:rPr>
        <w:t xml:space="preserve">): </w:t>
      </w:r>
    </w:p>
    <w:p w:rsidR="00146539" w:rsidRPr="00146539" w:rsidRDefault="006F55F5" w:rsidP="00146539">
      <w:pPr>
        <w:pBdr>
          <w:top w:val="single" w:sz="4" w:space="1" w:color="auto"/>
          <w:left w:val="single" w:sz="4" w:space="4" w:color="auto"/>
          <w:bottom w:val="single" w:sz="4" w:space="1" w:color="auto"/>
          <w:right w:val="single" w:sz="4" w:space="4" w:color="auto"/>
        </w:pBdr>
        <w:jc w:val="both"/>
        <w:rPr>
          <w:rStyle w:val="Hyperlink"/>
          <w:color w:val="auto"/>
          <w:sz w:val="20"/>
          <w:szCs w:val="20"/>
          <w:u w:val="none"/>
        </w:rPr>
      </w:pPr>
      <w:hyperlink r:id="rId11" w:history="1">
        <w:r w:rsidR="00146539" w:rsidRPr="00322977">
          <w:rPr>
            <w:rStyle w:val="Hyperlink"/>
            <w:sz w:val="20"/>
            <w:szCs w:val="20"/>
          </w:rPr>
          <w:t>https://www.boe.es/buscar/act.php?id=BOE-A-2014-318&amp;p=20160611&amp;tn=1</w:t>
        </w:r>
      </w:hyperlink>
    </w:p>
    <w:p w:rsidR="00146539" w:rsidRDefault="00146539" w:rsidP="00146539">
      <w:pPr>
        <w:pStyle w:val="ListParagraph"/>
        <w:ind w:left="1080"/>
        <w:jc w:val="both"/>
        <w:rPr>
          <w:sz w:val="20"/>
          <w:szCs w:val="20"/>
        </w:rPr>
      </w:pPr>
    </w:p>
    <w:p w:rsidR="00146539" w:rsidRDefault="00146539" w:rsidP="00146539">
      <w:pPr>
        <w:pStyle w:val="ListParagraph"/>
        <w:ind w:left="0"/>
        <w:jc w:val="both"/>
        <w:rPr>
          <w:sz w:val="20"/>
          <w:szCs w:val="20"/>
          <w:lang w:val="en-GB"/>
        </w:rPr>
      </w:pPr>
      <w:r w:rsidRPr="00146539">
        <w:rPr>
          <w:sz w:val="20"/>
          <w:szCs w:val="20"/>
          <w:lang w:val="en-GB"/>
        </w:rPr>
        <w:t xml:space="preserve">Real </w:t>
      </w:r>
      <w:proofErr w:type="spellStart"/>
      <w:r w:rsidRPr="00146539">
        <w:rPr>
          <w:sz w:val="20"/>
          <w:szCs w:val="20"/>
          <w:lang w:val="en-GB"/>
        </w:rPr>
        <w:t>Decreto</w:t>
      </w:r>
      <w:proofErr w:type="spellEnd"/>
      <w:r w:rsidRPr="00146539">
        <w:rPr>
          <w:sz w:val="20"/>
          <w:szCs w:val="20"/>
          <w:lang w:val="en-GB"/>
        </w:rPr>
        <w:t xml:space="preserve"> 4/2014 sets a qualit</w:t>
      </w:r>
      <w:r>
        <w:rPr>
          <w:sz w:val="20"/>
          <w:szCs w:val="20"/>
          <w:lang w:val="en-GB"/>
        </w:rPr>
        <w:t>y standard for meat products that are considered “</w:t>
      </w:r>
      <w:proofErr w:type="spellStart"/>
      <w:r>
        <w:rPr>
          <w:sz w:val="20"/>
          <w:szCs w:val="20"/>
          <w:lang w:val="en-GB"/>
        </w:rPr>
        <w:t>ibéricos</w:t>
      </w:r>
      <w:proofErr w:type="spellEnd"/>
      <w:r>
        <w:rPr>
          <w:sz w:val="20"/>
          <w:szCs w:val="20"/>
          <w:lang w:val="en-GB"/>
        </w:rPr>
        <w:t>” (Iberian) which are “produced or marketed in Spain.” (art1)</w:t>
      </w:r>
    </w:p>
    <w:p w:rsidR="00146539" w:rsidRDefault="00146539" w:rsidP="00146539">
      <w:pPr>
        <w:pStyle w:val="ListParagraph"/>
        <w:ind w:left="0"/>
        <w:jc w:val="both"/>
        <w:rPr>
          <w:sz w:val="20"/>
          <w:szCs w:val="20"/>
          <w:lang w:val="en-GB"/>
        </w:rPr>
      </w:pPr>
    </w:p>
    <w:p w:rsidR="00146539" w:rsidRDefault="00146539" w:rsidP="00146539">
      <w:pPr>
        <w:pStyle w:val="ListParagraph"/>
        <w:ind w:left="0"/>
        <w:jc w:val="both"/>
        <w:rPr>
          <w:sz w:val="20"/>
          <w:szCs w:val="20"/>
          <w:lang w:val="en-GB"/>
        </w:rPr>
      </w:pPr>
      <w:r>
        <w:rPr>
          <w:sz w:val="20"/>
          <w:szCs w:val="20"/>
          <w:lang w:val="en-GB"/>
        </w:rPr>
        <w:t>Art.3</w:t>
      </w:r>
      <w:r w:rsidR="006A4E2C">
        <w:rPr>
          <w:sz w:val="20"/>
          <w:szCs w:val="20"/>
          <w:lang w:val="en-GB"/>
        </w:rPr>
        <w:t xml:space="preserve"> of the royal decree</w:t>
      </w:r>
      <w:r>
        <w:rPr>
          <w:sz w:val="20"/>
          <w:szCs w:val="20"/>
          <w:lang w:val="en-GB"/>
        </w:rPr>
        <w:t xml:space="preserve"> provides sales designation of protected products, including “</w:t>
      </w:r>
      <w:proofErr w:type="spellStart"/>
      <w:r>
        <w:rPr>
          <w:sz w:val="20"/>
          <w:szCs w:val="20"/>
          <w:lang w:val="en-GB"/>
        </w:rPr>
        <w:t>jamón</w:t>
      </w:r>
      <w:proofErr w:type="spellEnd"/>
      <w:r>
        <w:rPr>
          <w:sz w:val="20"/>
          <w:szCs w:val="20"/>
          <w:lang w:val="en-GB"/>
        </w:rPr>
        <w:t xml:space="preserve"> de bellota</w:t>
      </w:r>
      <w:r w:rsidR="006A4E2C">
        <w:rPr>
          <w:rStyle w:val="FootnoteReference"/>
          <w:sz w:val="20"/>
          <w:szCs w:val="20"/>
          <w:lang w:val="en-GB"/>
        </w:rPr>
        <w:footnoteReference w:id="3"/>
      </w:r>
      <w:r>
        <w:rPr>
          <w:sz w:val="20"/>
          <w:szCs w:val="20"/>
          <w:lang w:val="en-GB"/>
        </w:rPr>
        <w:t xml:space="preserve">” (acorn), for those products that, similar to the definition in the legal brief, </w:t>
      </w:r>
      <w:r w:rsidRPr="00146539">
        <w:rPr>
          <w:sz w:val="20"/>
          <w:szCs w:val="20"/>
          <w:lang w:val="en-GB"/>
        </w:rPr>
        <w:t xml:space="preserve">must derive exclusively from animals slaughtered immediately after fattening exclusively with acorns, grass and other natural resources found in </w:t>
      </w:r>
      <w:r>
        <w:rPr>
          <w:sz w:val="20"/>
          <w:szCs w:val="20"/>
          <w:lang w:val="en-GB"/>
        </w:rPr>
        <w:t>[</w:t>
      </w:r>
      <w:proofErr w:type="spellStart"/>
      <w:r>
        <w:rPr>
          <w:sz w:val="20"/>
          <w:szCs w:val="20"/>
          <w:lang w:val="en-GB"/>
        </w:rPr>
        <w:t>dehesa</w:t>
      </w:r>
      <w:proofErr w:type="spellEnd"/>
      <w:r>
        <w:rPr>
          <w:sz w:val="20"/>
          <w:szCs w:val="20"/>
          <w:lang w:val="en-GB"/>
        </w:rPr>
        <w:t xml:space="preserve">] </w:t>
      </w:r>
      <w:r w:rsidRPr="00146539">
        <w:rPr>
          <w:sz w:val="20"/>
          <w:szCs w:val="20"/>
          <w:lang w:val="en-GB"/>
        </w:rPr>
        <w:t>oak forests.</w:t>
      </w:r>
    </w:p>
    <w:p w:rsidR="006A4E2C" w:rsidRDefault="006A4E2C" w:rsidP="00146539">
      <w:pPr>
        <w:pStyle w:val="ListParagraph"/>
        <w:ind w:left="0"/>
        <w:jc w:val="both"/>
        <w:rPr>
          <w:sz w:val="20"/>
          <w:szCs w:val="20"/>
          <w:lang w:val="en-GB"/>
        </w:rPr>
      </w:pPr>
    </w:p>
    <w:p w:rsidR="006A4E2C" w:rsidRDefault="006A4E2C" w:rsidP="006A4E2C">
      <w:pPr>
        <w:pStyle w:val="ListParagraph"/>
        <w:ind w:left="0"/>
        <w:jc w:val="both"/>
        <w:rPr>
          <w:sz w:val="20"/>
          <w:szCs w:val="20"/>
          <w:lang w:val="en-GB"/>
        </w:rPr>
      </w:pPr>
      <w:r>
        <w:rPr>
          <w:sz w:val="20"/>
          <w:szCs w:val="20"/>
          <w:lang w:val="en-GB"/>
        </w:rPr>
        <w:t xml:space="preserve">The </w:t>
      </w:r>
      <w:r w:rsidR="00187AD7">
        <w:rPr>
          <w:sz w:val="20"/>
          <w:szCs w:val="20"/>
          <w:lang w:val="en-GB"/>
        </w:rPr>
        <w:t xml:space="preserve">main </w:t>
      </w:r>
      <w:r>
        <w:rPr>
          <w:sz w:val="20"/>
          <w:szCs w:val="20"/>
          <w:lang w:val="en-GB"/>
        </w:rPr>
        <w:t xml:space="preserve">question before the CJEU is not about labelling but about animal welfare: Art. 8 of the royal decree  establishes that pigs must be fed free-range, in a field with a specific number of </w:t>
      </w:r>
      <w:r w:rsidR="00C633C8">
        <w:rPr>
          <w:sz w:val="20"/>
          <w:szCs w:val="20"/>
          <w:lang w:val="en-GB"/>
        </w:rPr>
        <w:t xml:space="preserve">square meters of unobstructed floor area available </w:t>
      </w:r>
      <w:r>
        <w:rPr>
          <w:sz w:val="20"/>
          <w:szCs w:val="20"/>
          <w:lang w:val="en-GB"/>
        </w:rPr>
        <w:t>for</w:t>
      </w:r>
      <w:r w:rsidR="00C633C8">
        <w:rPr>
          <w:sz w:val="20"/>
          <w:szCs w:val="20"/>
          <w:lang w:val="en-GB"/>
        </w:rPr>
        <w:t xml:space="preserve"> each pig. </w:t>
      </w:r>
      <w:r w:rsidR="00FC6477">
        <w:rPr>
          <w:sz w:val="20"/>
          <w:szCs w:val="20"/>
          <w:lang w:val="en-GB"/>
        </w:rPr>
        <w:t>It also sets a standard on minimum age of the pig before slaughter, and its weight.</w:t>
      </w:r>
    </w:p>
    <w:p w:rsidR="006A4E2C" w:rsidRDefault="006A4E2C" w:rsidP="006A4E2C">
      <w:pPr>
        <w:pStyle w:val="ListParagraph"/>
        <w:ind w:left="0"/>
        <w:jc w:val="both"/>
        <w:rPr>
          <w:sz w:val="20"/>
          <w:szCs w:val="20"/>
          <w:lang w:val="en-GB"/>
        </w:rPr>
      </w:pPr>
    </w:p>
    <w:p w:rsidR="00C633C8" w:rsidRPr="00187AD7" w:rsidRDefault="006A4E2C" w:rsidP="00187AD7">
      <w:pPr>
        <w:pBdr>
          <w:top w:val="single" w:sz="4" w:space="1" w:color="auto"/>
          <w:left w:val="single" w:sz="4" w:space="4" w:color="auto"/>
          <w:bottom w:val="single" w:sz="4" w:space="1" w:color="auto"/>
          <w:right w:val="single" w:sz="4" w:space="4" w:color="auto"/>
        </w:pBdr>
        <w:jc w:val="both"/>
        <w:rPr>
          <w:sz w:val="20"/>
          <w:szCs w:val="20"/>
          <w:lang w:val="en-GB"/>
        </w:rPr>
      </w:pPr>
      <w:r w:rsidRPr="00187AD7">
        <w:rPr>
          <w:sz w:val="20"/>
          <w:szCs w:val="20"/>
          <w:lang w:val="en-GB"/>
        </w:rPr>
        <w:t>Students could be confused and d</w:t>
      </w:r>
      <w:r w:rsidR="00C633C8" w:rsidRPr="00187AD7">
        <w:rPr>
          <w:sz w:val="20"/>
          <w:szCs w:val="20"/>
          <w:lang w:val="en-GB"/>
        </w:rPr>
        <w:t>iscuss Directive 2008/120/EC, laying down minimum standards for the protection of pigs</w:t>
      </w:r>
      <w:r w:rsidRPr="00187AD7">
        <w:rPr>
          <w:sz w:val="20"/>
          <w:szCs w:val="20"/>
          <w:lang w:val="en-GB"/>
        </w:rPr>
        <w:t xml:space="preserve">, so I changed the question in the case. </w:t>
      </w:r>
      <w:r w:rsidR="00FC6477" w:rsidRPr="00187AD7">
        <w:rPr>
          <w:sz w:val="20"/>
          <w:szCs w:val="20"/>
          <w:lang w:val="en-GB"/>
        </w:rPr>
        <w:t>There were too many variables they could get into.</w:t>
      </w:r>
    </w:p>
    <w:p w:rsidR="006A4E2C" w:rsidRDefault="006A4E2C" w:rsidP="006A4E2C">
      <w:pPr>
        <w:pStyle w:val="ListParagraph"/>
        <w:ind w:left="0"/>
        <w:jc w:val="both"/>
        <w:rPr>
          <w:sz w:val="20"/>
          <w:szCs w:val="20"/>
          <w:lang w:val="en-GB"/>
        </w:rPr>
      </w:pPr>
    </w:p>
    <w:p w:rsidR="00187AD7" w:rsidRDefault="00187AD7" w:rsidP="002B78A7">
      <w:pPr>
        <w:pStyle w:val="ListParagraph"/>
        <w:pBdr>
          <w:top w:val="single" w:sz="4" w:space="1" w:color="auto"/>
          <w:left w:val="single" w:sz="4" w:space="4" w:color="auto"/>
          <w:bottom w:val="single" w:sz="4" w:space="1" w:color="auto"/>
          <w:right w:val="single" w:sz="4" w:space="4" w:color="auto"/>
        </w:pBdr>
        <w:ind w:left="0"/>
        <w:jc w:val="both"/>
        <w:rPr>
          <w:sz w:val="20"/>
          <w:szCs w:val="20"/>
          <w:lang w:val="en-GB"/>
        </w:rPr>
      </w:pPr>
      <w:r>
        <w:rPr>
          <w:sz w:val="20"/>
          <w:szCs w:val="20"/>
          <w:lang w:val="en-GB"/>
        </w:rPr>
        <w:t>There is a second issue about labelling “</w:t>
      </w:r>
      <w:proofErr w:type="spellStart"/>
      <w:r>
        <w:rPr>
          <w:sz w:val="20"/>
          <w:szCs w:val="20"/>
          <w:lang w:val="en-GB"/>
        </w:rPr>
        <w:t>ibérico</w:t>
      </w:r>
      <w:proofErr w:type="spellEnd"/>
      <w:r>
        <w:rPr>
          <w:sz w:val="20"/>
          <w:szCs w:val="20"/>
          <w:lang w:val="en-GB"/>
        </w:rPr>
        <w:t xml:space="preserve"> de </w:t>
      </w:r>
      <w:proofErr w:type="spellStart"/>
      <w:r>
        <w:rPr>
          <w:sz w:val="20"/>
          <w:szCs w:val="20"/>
          <w:lang w:val="en-GB"/>
        </w:rPr>
        <w:t>cebo</w:t>
      </w:r>
      <w:proofErr w:type="spellEnd"/>
      <w:r>
        <w:rPr>
          <w:sz w:val="20"/>
          <w:szCs w:val="20"/>
          <w:lang w:val="en-GB"/>
        </w:rPr>
        <w:t>.” I changed it to “</w:t>
      </w:r>
      <w:proofErr w:type="spellStart"/>
      <w:r>
        <w:rPr>
          <w:sz w:val="20"/>
          <w:szCs w:val="20"/>
          <w:lang w:val="en-GB"/>
        </w:rPr>
        <w:t>jamón</w:t>
      </w:r>
      <w:proofErr w:type="spellEnd"/>
      <w:r>
        <w:rPr>
          <w:sz w:val="20"/>
          <w:szCs w:val="20"/>
          <w:lang w:val="en-GB"/>
        </w:rPr>
        <w:t xml:space="preserve"> </w:t>
      </w:r>
      <w:proofErr w:type="spellStart"/>
      <w:r>
        <w:rPr>
          <w:sz w:val="20"/>
          <w:szCs w:val="20"/>
          <w:lang w:val="en-GB"/>
        </w:rPr>
        <w:t>ibérico</w:t>
      </w:r>
      <w:proofErr w:type="spellEnd"/>
      <w:r>
        <w:rPr>
          <w:sz w:val="20"/>
          <w:szCs w:val="20"/>
          <w:lang w:val="en-GB"/>
        </w:rPr>
        <w:t xml:space="preserve">” because there is no translation of “de </w:t>
      </w:r>
      <w:proofErr w:type="spellStart"/>
      <w:r>
        <w:rPr>
          <w:sz w:val="20"/>
          <w:szCs w:val="20"/>
          <w:lang w:val="en-GB"/>
        </w:rPr>
        <w:t>cebo</w:t>
      </w:r>
      <w:proofErr w:type="spellEnd"/>
      <w:r>
        <w:rPr>
          <w:sz w:val="20"/>
          <w:szCs w:val="20"/>
          <w:lang w:val="en-GB"/>
        </w:rPr>
        <w:t xml:space="preserve">” </w:t>
      </w:r>
      <w:r w:rsidR="002B78A7">
        <w:rPr>
          <w:sz w:val="20"/>
          <w:szCs w:val="20"/>
          <w:lang w:val="en-GB"/>
        </w:rPr>
        <w:t>and to avoid discussion about the origin versus the ethnicity of the pig linked to the term “</w:t>
      </w:r>
      <w:proofErr w:type="spellStart"/>
      <w:r w:rsidR="002B78A7">
        <w:rPr>
          <w:sz w:val="20"/>
          <w:szCs w:val="20"/>
          <w:lang w:val="en-GB"/>
        </w:rPr>
        <w:t>iberian</w:t>
      </w:r>
      <w:proofErr w:type="spellEnd"/>
      <w:r w:rsidR="002B78A7">
        <w:rPr>
          <w:sz w:val="20"/>
          <w:szCs w:val="20"/>
          <w:lang w:val="en-GB"/>
        </w:rPr>
        <w:t>.”</w:t>
      </w:r>
    </w:p>
    <w:p w:rsidR="002B78A7" w:rsidRDefault="002B78A7" w:rsidP="006A4E2C">
      <w:pPr>
        <w:pStyle w:val="ListParagraph"/>
        <w:ind w:left="0"/>
        <w:jc w:val="both"/>
        <w:rPr>
          <w:sz w:val="20"/>
          <w:szCs w:val="20"/>
          <w:lang w:val="en-GB"/>
        </w:rPr>
      </w:pPr>
    </w:p>
    <w:p w:rsidR="00187AD7" w:rsidRDefault="00187AD7" w:rsidP="006A4E2C">
      <w:pPr>
        <w:pStyle w:val="ListParagraph"/>
        <w:ind w:left="0"/>
        <w:jc w:val="both"/>
        <w:rPr>
          <w:sz w:val="20"/>
          <w:szCs w:val="20"/>
          <w:lang w:val="en-GB"/>
        </w:rPr>
      </w:pPr>
      <w:r>
        <w:rPr>
          <w:sz w:val="20"/>
          <w:szCs w:val="20"/>
          <w:lang w:val="en-GB"/>
        </w:rPr>
        <w:t xml:space="preserve">The royal decree has a provision that states that it does not apply to products marketed lawfully in another Member State, so the CJUE does not consider that the Spanish law is a measure of equivalent effect. It does not consider there is a breach of art. 34 or 35 TFUE. </w:t>
      </w:r>
    </w:p>
    <w:p w:rsidR="00187AD7" w:rsidRDefault="00187AD7" w:rsidP="006A4E2C">
      <w:pPr>
        <w:pStyle w:val="ListParagraph"/>
        <w:ind w:left="0"/>
        <w:jc w:val="both"/>
        <w:rPr>
          <w:sz w:val="20"/>
          <w:szCs w:val="20"/>
          <w:lang w:val="en-GB"/>
        </w:rPr>
      </w:pPr>
    </w:p>
    <w:p w:rsidR="006A4E2C" w:rsidRDefault="006A4E2C" w:rsidP="006A4E2C">
      <w:pPr>
        <w:pStyle w:val="ListParagraph"/>
        <w:ind w:left="0"/>
        <w:jc w:val="both"/>
        <w:rPr>
          <w:sz w:val="20"/>
          <w:szCs w:val="20"/>
          <w:lang w:val="en-GB"/>
        </w:rPr>
      </w:pPr>
      <w:r>
        <w:rPr>
          <w:sz w:val="20"/>
          <w:szCs w:val="20"/>
          <w:lang w:val="en-GB"/>
        </w:rPr>
        <w:t>Still, the Judgement has relevant paragraphs to solve the legal brief:</w:t>
      </w:r>
    </w:p>
    <w:p w:rsidR="006A4E2C" w:rsidRDefault="006A4E2C" w:rsidP="006A4E2C">
      <w:pPr>
        <w:pStyle w:val="ListParagraph"/>
        <w:ind w:left="0"/>
        <w:jc w:val="both"/>
        <w:rPr>
          <w:sz w:val="20"/>
          <w:szCs w:val="20"/>
          <w:lang w:val="en-GB"/>
        </w:rPr>
      </w:pPr>
    </w:p>
    <w:p w:rsidR="006A4E2C" w:rsidRPr="008D72ED" w:rsidRDefault="008D72ED" w:rsidP="006A4E2C">
      <w:pPr>
        <w:pStyle w:val="ListParagraph"/>
        <w:ind w:left="0"/>
        <w:jc w:val="both"/>
        <w:rPr>
          <w:b/>
          <w:sz w:val="20"/>
          <w:szCs w:val="20"/>
          <w:lang w:val="en-GB"/>
        </w:rPr>
      </w:pPr>
      <w:r w:rsidRPr="008D72ED">
        <w:rPr>
          <w:b/>
          <w:sz w:val="20"/>
          <w:szCs w:val="20"/>
          <w:lang w:val="en-GB"/>
        </w:rPr>
        <w:t>About what is a measure of quantitative effect:</w:t>
      </w:r>
    </w:p>
    <w:p w:rsidR="008D72ED" w:rsidRPr="008D72ED" w:rsidRDefault="008D72ED" w:rsidP="008D72ED">
      <w:pPr>
        <w:jc w:val="both"/>
        <w:rPr>
          <w:sz w:val="20"/>
          <w:szCs w:val="20"/>
          <w:lang w:val="en-GB"/>
        </w:rPr>
      </w:pPr>
      <w:r>
        <w:rPr>
          <w:sz w:val="20"/>
          <w:szCs w:val="20"/>
          <w:lang w:val="en-GB"/>
        </w:rPr>
        <w:t xml:space="preserve">(21) </w:t>
      </w:r>
      <w:r w:rsidRPr="008D72ED">
        <w:rPr>
          <w:sz w:val="20"/>
          <w:szCs w:val="20"/>
          <w:lang w:val="en-GB"/>
        </w:rPr>
        <w:t xml:space="preserve">Secondly, it must be noted that any national measure that is capable of hindering, directly or indirectly, actually or potentially, trade within the European Union must be regarded as a measure having an effect equivalent to quantitative restrictions within the meaning of Article 34 TFEU (see, to that effect, judgments of 18 October 2012, </w:t>
      </w:r>
      <w:proofErr w:type="spellStart"/>
      <w:r w:rsidRPr="008D72ED">
        <w:rPr>
          <w:sz w:val="20"/>
          <w:szCs w:val="20"/>
          <w:lang w:val="en-GB"/>
        </w:rPr>
        <w:t>Elenca</w:t>
      </w:r>
      <w:proofErr w:type="spellEnd"/>
      <w:r w:rsidRPr="008D72ED">
        <w:rPr>
          <w:sz w:val="20"/>
          <w:szCs w:val="20"/>
          <w:lang w:val="en-GB"/>
        </w:rPr>
        <w:t>, C</w:t>
      </w:r>
      <w:r w:rsidRPr="008D72ED">
        <w:rPr>
          <w:rFonts w:ascii="Cambria Math" w:hAnsi="Cambria Math" w:cs="Cambria Math"/>
          <w:sz w:val="20"/>
          <w:szCs w:val="20"/>
          <w:lang w:val="en-GB"/>
        </w:rPr>
        <w:t>‑</w:t>
      </w:r>
      <w:r w:rsidRPr="008D72ED">
        <w:rPr>
          <w:sz w:val="20"/>
          <w:szCs w:val="20"/>
          <w:lang w:val="en-GB"/>
        </w:rPr>
        <w:t xml:space="preserve">385/10, EU:C:2012:634, paragraph 22 and the case-law cited), and of 6 October 2015, </w:t>
      </w:r>
      <w:proofErr w:type="spellStart"/>
      <w:r w:rsidRPr="008D72ED">
        <w:rPr>
          <w:sz w:val="20"/>
          <w:szCs w:val="20"/>
          <w:lang w:val="en-GB"/>
        </w:rPr>
        <w:t>Capoda</w:t>
      </w:r>
      <w:proofErr w:type="spellEnd"/>
      <w:r w:rsidRPr="008D72ED">
        <w:rPr>
          <w:sz w:val="20"/>
          <w:szCs w:val="20"/>
          <w:lang w:val="en-GB"/>
        </w:rPr>
        <w:t xml:space="preserve"> Import-Export, C</w:t>
      </w:r>
      <w:r w:rsidRPr="008D72ED">
        <w:rPr>
          <w:rFonts w:ascii="Cambria Math" w:hAnsi="Cambria Math" w:cs="Cambria Math"/>
          <w:sz w:val="20"/>
          <w:szCs w:val="20"/>
          <w:lang w:val="en-GB"/>
        </w:rPr>
        <w:t>‑</w:t>
      </w:r>
      <w:r w:rsidRPr="008D72ED">
        <w:rPr>
          <w:sz w:val="20"/>
          <w:szCs w:val="20"/>
          <w:lang w:val="en-GB"/>
        </w:rPr>
        <w:t>354/14, EU:C:2015:658, paragraph 39 and the case-law cited).</w:t>
      </w:r>
    </w:p>
    <w:p w:rsidR="008D72ED" w:rsidRDefault="008D72ED" w:rsidP="008D72ED">
      <w:pPr>
        <w:pStyle w:val="ListParagraph"/>
        <w:ind w:left="0"/>
        <w:jc w:val="both"/>
        <w:rPr>
          <w:sz w:val="20"/>
          <w:szCs w:val="20"/>
          <w:lang w:val="en-GB"/>
        </w:rPr>
      </w:pPr>
      <w:r>
        <w:rPr>
          <w:sz w:val="20"/>
          <w:szCs w:val="20"/>
          <w:lang w:val="en-GB"/>
        </w:rPr>
        <w:t>(</w:t>
      </w:r>
      <w:r w:rsidRPr="008D72ED">
        <w:rPr>
          <w:sz w:val="20"/>
          <w:szCs w:val="20"/>
          <w:lang w:val="en-GB"/>
        </w:rPr>
        <w:t>22</w:t>
      </w:r>
      <w:r>
        <w:rPr>
          <w:sz w:val="20"/>
          <w:szCs w:val="20"/>
          <w:lang w:val="en-GB"/>
        </w:rPr>
        <w:t>)</w:t>
      </w:r>
      <w:r w:rsidRPr="008D72ED">
        <w:rPr>
          <w:sz w:val="20"/>
          <w:szCs w:val="20"/>
          <w:lang w:val="en-GB"/>
        </w:rPr>
        <w:t xml:space="preserve"> It is clear from the Court’s settled case-law that that provision is intended to apply not only to the actual effects but also to the potential effects of legislation. It cannot be considered inapplicable simply because at the present time there are no actual cases with a connection to another Member State (judgment of 22 October 1998, Commission v France, C</w:t>
      </w:r>
      <w:r w:rsidRPr="008D72ED">
        <w:rPr>
          <w:rFonts w:ascii="Cambria Math" w:hAnsi="Cambria Math" w:cs="Cambria Math"/>
          <w:sz w:val="20"/>
          <w:szCs w:val="20"/>
          <w:lang w:val="en-GB"/>
        </w:rPr>
        <w:t>‑</w:t>
      </w:r>
      <w:r w:rsidRPr="008D72ED">
        <w:rPr>
          <w:sz w:val="20"/>
          <w:szCs w:val="20"/>
          <w:lang w:val="en-GB"/>
        </w:rPr>
        <w:t>184/96, EU:C:1998:495, paragraph 17 and the case-law cited).</w:t>
      </w:r>
    </w:p>
    <w:p w:rsidR="008D72ED" w:rsidRDefault="008D72ED" w:rsidP="008D72ED">
      <w:pPr>
        <w:pStyle w:val="ListParagraph"/>
        <w:ind w:left="0"/>
        <w:jc w:val="both"/>
        <w:rPr>
          <w:sz w:val="20"/>
          <w:szCs w:val="20"/>
          <w:lang w:val="en-GB"/>
        </w:rPr>
      </w:pPr>
    </w:p>
    <w:p w:rsidR="008D72ED" w:rsidRDefault="00187AD7" w:rsidP="008D72ED">
      <w:pPr>
        <w:pStyle w:val="ListParagraph"/>
        <w:ind w:left="0"/>
        <w:jc w:val="both"/>
        <w:rPr>
          <w:b/>
          <w:sz w:val="20"/>
          <w:szCs w:val="20"/>
          <w:lang w:val="en-GB"/>
        </w:rPr>
      </w:pPr>
      <w:r w:rsidRPr="00187AD7">
        <w:rPr>
          <w:b/>
          <w:sz w:val="20"/>
          <w:szCs w:val="20"/>
          <w:lang w:val="en-GB"/>
        </w:rPr>
        <w:t>About mutual recognition:</w:t>
      </w:r>
    </w:p>
    <w:p w:rsidR="00187AD7" w:rsidRDefault="00187AD7" w:rsidP="008D72ED">
      <w:pPr>
        <w:pStyle w:val="ListParagraph"/>
        <w:ind w:left="0"/>
        <w:jc w:val="both"/>
        <w:rPr>
          <w:b/>
          <w:sz w:val="20"/>
          <w:szCs w:val="20"/>
          <w:lang w:val="en-GB"/>
        </w:rPr>
      </w:pPr>
    </w:p>
    <w:p w:rsidR="00187AD7" w:rsidRDefault="00187AD7" w:rsidP="008D72ED">
      <w:pPr>
        <w:pStyle w:val="ListParagraph"/>
        <w:ind w:left="0"/>
        <w:jc w:val="both"/>
        <w:rPr>
          <w:sz w:val="20"/>
          <w:szCs w:val="20"/>
          <w:lang w:val="en-GB"/>
        </w:rPr>
      </w:pPr>
      <w:r w:rsidRPr="00187AD7">
        <w:rPr>
          <w:sz w:val="20"/>
          <w:szCs w:val="20"/>
          <w:lang w:val="en-GB"/>
        </w:rPr>
        <w:t>(24)</w:t>
      </w:r>
      <w:r>
        <w:rPr>
          <w:sz w:val="20"/>
          <w:szCs w:val="20"/>
          <w:lang w:val="en-GB"/>
        </w:rPr>
        <w:t xml:space="preserve"> (…) </w:t>
      </w:r>
      <w:r w:rsidRPr="00187AD7">
        <w:rPr>
          <w:sz w:val="20"/>
          <w:szCs w:val="20"/>
          <w:lang w:val="en-GB"/>
        </w:rPr>
        <w:t xml:space="preserve">the Court has consistently held that national legislation that subjects goods from other Member States, where they are lawfully manufactured and marketed, to certain conditions in order to be able to use the generic designation commonly used for that product, and which thus in certain cases requires producers to use designations which are unknown to, or less highly regarded by, consumers, does not absolutely preclude the importation into the Member State concerned of products originating in other Member States. Nevertheless, it is likely to make their marketing more difficult and thus impede trade between Member States (judgment of 5 December 2000, </w:t>
      </w:r>
      <w:proofErr w:type="spellStart"/>
      <w:r w:rsidRPr="00187AD7">
        <w:rPr>
          <w:sz w:val="20"/>
          <w:szCs w:val="20"/>
          <w:lang w:val="en-GB"/>
        </w:rPr>
        <w:t>Guimont</w:t>
      </w:r>
      <w:proofErr w:type="spellEnd"/>
      <w:r w:rsidRPr="00187AD7">
        <w:rPr>
          <w:sz w:val="20"/>
          <w:szCs w:val="20"/>
          <w:lang w:val="en-GB"/>
        </w:rPr>
        <w:t>, C</w:t>
      </w:r>
      <w:r w:rsidRPr="00187AD7">
        <w:rPr>
          <w:rFonts w:ascii="Cambria Math" w:hAnsi="Cambria Math" w:cs="Cambria Math"/>
          <w:sz w:val="20"/>
          <w:szCs w:val="20"/>
          <w:lang w:val="en-GB"/>
        </w:rPr>
        <w:t>‑</w:t>
      </w:r>
      <w:r w:rsidRPr="00187AD7">
        <w:rPr>
          <w:sz w:val="20"/>
          <w:szCs w:val="20"/>
          <w:lang w:val="en-GB"/>
        </w:rPr>
        <w:t>448/98, EU:C:2000:663, paragraph 26 and the case-law cited).</w:t>
      </w:r>
    </w:p>
    <w:p w:rsidR="00187AD7" w:rsidRDefault="00187AD7" w:rsidP="008D72ED">
      <w:pPr>
        <w:pStyle w:val="ListParagraph"/>
        <w:ind w:left="0"/>
        <w:jc w:val="both"/>
        <w:rPr>
          <w:sz w:val="20"/>
          <w:szCs w:val="20"/>
          <w:lang w:val="en-GB"/>
        </w:rPr>
      </w:pPr>
    </w:p>
    <w:p w:rsidR="00187AD7" w:rsidRPr="00187AD7" w:rsidRDefault="00187AD7" w:rsidP="008D72ED">
      <w:pPr>
        <w:pStyle w:val="ListParagraph"/>
        <w:ind w:left="0"/>
        <w:jc w:val="both"/>
        <w:rPr>
          <w:sz w:val="20"/>
          <w:szCs w:val="20"/>
          <w:lang w:val="en-GB"/>
        </w:rPr>
      </w:pPr>
      <w:r>
        <w:rPr>
          <w:sz w:val="20"/>
          <w:szCs w:val="20"/>
          <w:lang w:val="en-GB"/>
        </w:rPr>
        <w:t xml:space="preserve">(28) </w:t>
      </w:r>
      <w:r w:rsidRPr="00187AD7">
        <w:rPr>
          <w:sz w:val="20"/>
          <w:szCs w:val="20"/>
          <w:lang w:val="en-GB"/>
        </w:rPr>
        <w:t>it cannot be held that Article 34 TFEU precludes national legislation, such as that at issue in the main proceedings, which provides that the sales designation ‘</w:t>
      </w:r>
      <w:proofErr w:type="spellStart"/>
      <w:r w:rsidRPr="00187AD7">
        <w:rPr>
          <w:sz w:val="20"/>
          <w:szCs w:val="20"/>
          <w:lang w:val="en-GB"/>
        </w:rPr>
        <w:t>ibérico</w:t>
      </w:r>
      <w:proofErr w:type="spellEnd"/>
      <w:r w:rsidRPr="00187AD7">
        <w:rPr>
          <w:sz w:val="20"/>
          <w:szCs w:val="20"/>
          <w:lang w:val="en-GB"/>
        </w:rPr>
        <w:t xml:space="preserve"> de </w:t>
      </w:r>
      <w:proofErr w:type="spellStart"/>
      <w:r w:rsidRPr="00187AD7">
        <w:rPr>
          <w:sz w:val="20"/>
          <w:szCs w:val="20"/>
          <w:lang w:val="en-GB"/>
        </w:rPr>
        <w:t>cebo</w:t>
      </w:r>
      <w:proofErr w:type="spellEnd"/>
      <w:r w:rsidRPr="00187AD7">
        <w:rPr>
          <w:sz w:val="20"/>
          <w:szCs w:val="20"/>
          <w:lang w:val="en-GB"/>
        </w:rPr>
        <w:t>’ may be granted only to products that comply with certain conditions imposed by that legislation, since that legislation permits the importation and marketing of products from Member States other than the State that adopted the legislation at issue, under the designations they bear pursuant to the rules of the Member State of origin, even if they are similar, comparable or identical to the designations provided for in the national legislation at issue in the main proceedings.</w:t>
      </w:r>
    </w:p>
    <w:p w:rsidR="00187AD7" w:rsidRPr="00187AD7" w:rsidRDefault="00187AD7" w:rsidP="00187AD7">
      <w:pPr>
        <w:tabs>
          <w:tab w:val="left" w:pos="2040"/>
        </w:tabs>
        <w:rPr>
          <w:sz w:val="20"/>
          <w:szCs w:val="20"/>
          <w:lang w:val="en-GB"/>
        </w:rPr>
      </w:pPr>
      <w:r w:rsidRPr="00187AD7">
        <w:rPr>
          <w:sz w:val="20"/>
          <w:szCs w:val="20"/>
          <w:lang w:val="en-GB"/>
        </w:rPr>
        <w:t>Operative part: Article 34 TFEU does not preclude national legislation, such as that at issue in the main proceedings, which provides that the sales designation ‘</w:t>
      </w:r>
      <w:proofErr w:type="spellStart"/>
      <w:r w:rsidRPr="00187AD7">
        <w:rPr>
          <w:sz w:val="20"/>
          <w:szCs w:val="20"/>
          <w:lang w:val="en-GB"/>
        </w:rPr>
        <w:t>ibérico</w:t>
      </w:r>
      <w:proofErr w:type="spellEnd"/>
      <w:r w:rsidRPr="00187AD7">
        <w:rPr>
          <w:sz w:val="20"/>
          <w:szCs w:val="20"/>
          <w:lang w:val="en-GB"/>
        </w:rPr>
        <w:t xml:space="preserve"> de </w:t>
      </w:r>
      <w:proofErr w:type="spellStart"/>
      <w:r w:rsidRPr="00187AD7">
        <w:rPr>
          <w:sz w:val="20"/>
          <w:szCs w:val="20"/>
          <w:lang w:val="en-GB"/>
        </w:rPr>
        <w:t>cebo</w:t>
      </w:r>
      <w:proofErr w:type="spellEnd"/>
      <w:r w:rsidRPr="00187AD7">
        <w:rPr>
          <w:sz w:val="20"/>
          <w:szCs w:val="20"/>
          <w:lang w:val="en-GB"/>
        </w:rPr>
        <w:t>’ may be granted only to products that comply with certain conditions imposed by that legislation, since that legislation permits the importation and marketing of products from Member States other than the State that adopted the legislation at issue, under the designations they bear pursuant to the rules of the Member State of origin, even if they are similar, comparable or identical to the designations provided for in the national legislation at issue in the main proceedings.</w:t>
      </w:r>
    </w:p>
    <w:p w:rsidR="00187AD7" w:rsidRDefault="00187AD7">
      <w:pPr>
        <w:rPr>
          <w:b/>
          <w:sz w:val="20"/>
          <w:szCs w:val="20"/>
          <w:lang w:val="en-GB"/>
        </w:rPr>
      </w:pPr>
      <w:r>
        <w:rPr>
          <w:b/>
          <w:sz w:val="20"/>
          <w:szCs w:val="20"/>
          <w:lang w:val="en-GB"/>
        </w:rPr>
        <w:br w:type="page"/>
      </w:r>
    </w:p>
    <w:p w:rsidR="00391370" w:rsidRPr="00104E5A" w:rsidRDefault="00391370" w:rsidP="00A17878">
      <w:pPr>
        <w:jc w:val="both"/>
        <w:rPr>
          <w:b/>
          <w:sz w:val="20"/>
          <w:szCs w:val="20"/>
          <w:lang w:val="en-GB"/>
        </w:rPr>
      </w:pPr>
      <w:r w:rsidRPr="00104E5A">
        <w:rPr>
          <w:b/>
          <w:sz w:val="20"/>
          <w:szCs w:val="20"/>
          <w:lang w:val="en-GB"/>
        </w:rPr>
        <w:t xml:space="preserve">Annex </w:t>
      </w:r>
      <w:r w:rsidR="00C633C8">
        <w:rPr>
          <w:b/>
          <w:sz w:val="20"/>
          <w:szCs w:val="20"/>
          <w:lang w:val="en-GB"/>
        </w:rPr>
        <w:t>I</w:t>
      </w:r>
      <w:r w:rsidRPr="00104E5A">
        <w:rPr>
          <w:b/>
          <w:sz w:val="20"/>
          <w:szCs w:val="20"/>
          <w:lang w:val="en-GB"/>
        </w:rPr>
        <w:t>I – Original Legal Brief Questions</w:t>
      </w:r>
    </w:p>
    <w:p w:rsidR="00A17878" w:rsidRPr="00104E5A" w:rsidRDefault="00A17878" w:rsidP="00A17878">
      <w:pPr>
        <w:jc w:val="both"/>
        <w:rPr>
          <w:b/>
          <w:sz w:val="20"/>
          <w:szCs w:val="20"/>
          <w:lang w:val="en-GB"/>
        </w:rPr>
      </w:pPr>
      <w:r w:rsidRPr="00104E5A">
        <w:rPr>
          <w:b/>
          <w:sz w:val="20"/>
          <w:szCs w:val="20"/>
          <w:lang w:val="en-GB"/>
        </w:rPr>
        <w:t xml:space="preserve">Subject: </w:t>
      </w:r>
      <w:r w:rsidRPr="00104E5A">
        <w:rPr>
          <w:sz w:val="20"/>
          <w:szCs w:val="20"/>
          <w:lang w:val="en-GB"/>
        </w:rPr>
        <w:t>Request for legal opinion</w:t>
      </w:r>
    </w:p>
    <w:p w:rsidR="00A17878" w:rsidRPr="00104E5A" w:rsidRDefault="00A17878" w:rsidP="00A17878">
      <w:pPr>
        <w:jc w:val="both"/>
        <w:rPr>
          <w:sz w:val="20"/>
          <w:szCs w:val="20"/>
          <w:lang w:val="en-GB"/>
        </w:rPr>
      </w:pPr>
      <w:r w:rsidRPr="00104E5A">
        <w:rPr>
          <w:b/>
          <w:sz w:val="20"/>
          <w:szCs w:val="20"/>
          <w:lang w:val="en-GB"/>
        </w:rPr>
        <w:t xml:space="preserve">To: </w:t>
      </w:r>
      <w:hyperlink r:id="rId12" w:history="1">
        <w:r w:rsidRPr="00104E5A">
          <w:rPr>
            <w:rStyle w:val="Hyperlink"/>
            <w:sz w:val="20"/>
            <w:szCs w:val="20"/>
            <w:lang w:val="en-GB"/>
          </w:rPr>
          <w:t>LegalCounsel@foodconsult.eu</w:t>
        </w:r>
      </w:hyperlink>
    </w:p>
    <w:p w:rsidR="00A17878" w:rsidRPr="00104E5A" w:rsidRDefault="00A17878" w:rsidP="00A17878">
      <w:pPr>
        <w:jc w:val="both"/>
        <w:rPr>
          <w:sz w:val="20"/>
          <w:szCs w:val="20"/>
          <w:lang w:val="en-GB"/>
        </w:rPr>
      </w:pPr>
      <w:r w:rsidRPr="00104E5A">
        <w:rPr>
          <w:b/>
          <w:sz w:val="20"/>
          <w:szCs w:val="20"/>
          <w:lang w:val="en-GB"/>
        </w:rPr>
        <w:t xml:space="preserve">From: </w:t>
      </w:r>
      <w:r w:rsidRPr="00104E5A">
        <w:rPr>
          <w:sz w:val="20"/>
          <w:szCs w:val="20"/>
          <w:lang w:val="en-GB"/>
        </w:rPr>
        <w:t>Ministry for Food and Agriculture,</w:t>
      </w:r>
      <w:r w:rsidRPr="00104E5A">
        <w:rPr>
          <w:b/>
          <w:sz w:val="20"/>
          <w:szCs w:val="20"/>
          <w:lang w:val="en-GB"/>
        </w:rPr>
        <w:t xml:space="preserve"> </w:t>
      </w:r>
      <w:r w:rsidRPr="00104E5A">
        <w:rPr>
          <w:sz w:val="20"/>
          <w:szCs w:val="20"/>
          <w:lang w:val="en-GB"/>
        </w:rPr>
        <w:t>Government of Spain</w:t>
      </w:r>
    </w:p>
    <w:p w:rsidR="00A17878" w:rsidRPr="00104E5A" w:rsidRDefault="00A17878" w:rsidP="00A17878">
      <w:pPr>
        <w:jc w:val="both"/>
        <w:rPr>
          <w:b/>
          <w:sz w:val="20"/>
          <w:szCs w:val="20"/>
          <w:lang w:val="en-GB"/>
        </w:rPr>
      </w:pPr>
    </w:p>
    <w:p w:rsidR="00A17878" w:rsidRPr="00104E5A" w:rsidRDefault="00A17878" w:rsidP="00A17878">
      <w:pPr>
        <w:jc w:val="both"/>
        <w:rPr>
          <w:sz w:val="20"/>
          <w:szCs w:val="20"/>
          <w:lang w:val="en-GB"/>
        </w:rPr>
      </w:pPr>
      <w:r w:rsidRPr="00104E5A">
        <w:rPr>
          <w:sz w:val="20"/>
          <w:szCs w:val="20"/>
          <w:lang w:val="en-GB"/>
        </w:rPr>
        <w:t>Dear advisors,</w:t>
      </w:r>
    </w:p>
    <w:p w:rsidR="00EC5128" w:rsidRPr="00104E5A" w:rsidRDefault="00A17878" w:rsidP="00A17878">
      <w:pPr>
        <w:jc w:val="both"/>
        <w:rPr>
          <w:sz w:val="20"/>
          <w:szCs w:val="20"/>
          <w:lang w:val="en-GB"/>
        </w:rPr>
      </w:pPr>
      <w:r w:rsidRPr="00104E5A">
        <w:rPr>
          <w:sz w:val="20"/>
          <w:szCs w:val="20"/>
          <w:lang w:val="en-GB"/>
        </w:rPr>
        <w:t xml:space="preserve">As you may already know, consumer organizations in Spain are lobbying for a national regulation </w:t>
      </w:r>
      <w:r w:rsidR="008330FE" w:rsidRPr="00104E5A">
        <w:rPr>
          <w:sz w:val="20"/>
          <w:szCs w:val="20"/>
          <w:lang w:val="en-GB"/>
        </w:rPr>
        <w:t xml:space="preserve">defining a quality standard for </w:t>
      </w:r>
      <w:r w:rsidRPr="00104E5A">
        <w:rPr>
          <w:sz w:val="20"/>
          <w:szCs w:val="20"/>
          <w:lang w:val="en-GB"/>
        </w:rPr>
        <w:t>meat products</w:t>
      </w:r>
      <w:r w:rsidR="008330FE" w:rsidRPr="00104E5A">
        <w:rPr>
          <w:sz w:val="20"/>
          <w:szCs w:val="20"/>
          <w:lang w:val="en-GB"/>
        </w:rPr>
        <w:t xml:space="preserve"> marketed </w:t>
      </w:r>
      <w:r w:rsidR="00EC5128" w:rsidRPr="00104E5A">
        <w:rPr>
          <w:sz w:val="20"/>
          <w:szCs w:val="20"/>
          <w:lang w:val="en-GB"/>
        </w:rPr>
        <w:t xml:space="preserve">as </w:t>
      </w:r>
      <w:r w:rsidRPr="00104E5A">
        <w:rPr>
          <w:sz w:val="20"/>
          <w:szCs w:val="20"/>
          <w:lang w:val="en-GB"/>
        </w:rPr>
        <w:t>“</w:t>
      </w:r>
      <w:proofErr w:type="spellStart"/>
      <w:r w:rsidR="00EC5128" w:rsidRPr="00104E5A">
        <w:rPr>
          <w:sz w:val="20"/>
          <w:szCs w:val="20"/>
          <w:lang w:val="en-GB"/>
        </w:rPr>
        <w:t>Jamón</w:t>
      </w:r>
      <w:proofErr w:type="spellEnd"/>
      <w:r w:rsidR="00EC5128" w:rsidRPr="00104E5A">
        <w:rPr>
          <w:sz w:val="20"/>
          <w:szCs w:val="20"/>
          <w:lang w:val="en-GB"/>
        </w:rPr>
        <w:t xml:space="preserve"> </w:t>
      </w:r>
      <w:r w:rsidR="00D96C40" w:rsidRPr="00104E5A">
        <w:rPr>
          <w:sz w:val="20"/>
          <w:szCs w:val="20"/>
          <w:lang w:val="en-GB"/>
        </w:rPr>
        <w:t>de bellota</w:t>
      </w:r>
      <w:r w:rsidRPr="00104E5A">
        <w:rPr>
          <w:sz w:val="20"/>
          <w:szCs w:val="20"/>
          <w:lang w:val="en-GB"/>
        </w:rPr>
        <w:t>” (“</w:t>
      </w:r>
      <w:r w:rsidR="00EC5128" w:rsidRPr="00104E5A">
        <w:rPr>
          <w:sz w:val="20"/>
          <w:szCs w:val="20"/>
          <w:lang w:val="en-GB"/>
        </w:rPr>
        <w:t>a</w:t>
      </w:r>
      <w:r w:rsidR="00D96C40" w:rsidRPr="00104E5A">
        <w:rPr>
          <w:sz w:val="20"/>
          <w:szCs w:val="20"/>
          <w:lang w:val="en-GB"/>
        </w:rPr>
        <w:t xml:space="preserve">corn </w:t>
      </w:r>
      <w:r w:rsidR="00EC5128" w:rsidRPr="00104E5A">
        <w:rPr>
          <w:sz w:val="20"/>
          <w:szCs w:val="20"/>
          <w:lang w:val="en-GB"/>
        </w:rPr>
        <w:t>ham</w:t>
      </w:r>
      <w:r w:rsidRPr="00104E5A">
        <w:rPr>
          <w:sz w:val="20"/>
          <w:szCs w:val="20"/>
          <w:lang w:val="en-GB"/>
        </w:rPr>
        <w:t>”)</w:t>
      </w:r>
      <w:r w:rsidR="00EC5128" w:rsidRPr="00104E5A">
        <w:rPr>
          <w:sz w:val="20"/>
          <w:szCs w:val="20"/>
          <w:lang w:val="en-GB"/>
        </w:rPr>
        <w:t xml:space="preserve">. </w:t>
      </w:r>
      <w:r w:rsidR="00EC5128" w:rsidRPr="00104E5A">
        <w:rPr>
          <w:sz w:val="20"/>
          <w:szCs w:val="20"/>
          <w:highlight w:val="yellow"/>
          <w:lang w:val="en-GB"/>
        </w:rPr>
        <w:t xml:space="preserve"> </w:t>
      </w:r>
    </w:p>
    <w:p w:rsidR="00A17878" w:rsidRPr="00104E5A" w:rsidRDefault="00EC5128" w:rsidP="00A17878">
      <w:pPr>
        <w:jc w:val="both"/>
        <w:rPr>
          <w:sz w:val="20"/>
          <w:szCs w:val="20"/>
          <w:lang w:val="en-GB"/>
        </w:rPr>
      </w:pPr>
      <w:r w:rsidRPr="00104E5A">
        <w:rPr>
          <w:sz w:val="20"/>
          <w:szCs w:val="20"/>
          <w:lang w:val="en-GB"/>
        </w:rPr>
        <w:t>Traditionally,</w:t>
      </w:r>
      <w:r w:rsidR="00A17878" w:rsidRPr="00104E5A">
        <w:rPr>
          <w:sz w:val="20"/>
          <w:szCs w:val="20"/>
          <w:lang w:val="en-GB"/>
        </w:rPr>
        <w:t xml:space="preserve"> </w:t>
      </w:r>
      <w:r w:rsidRPr="00104E5A">
        <w:rPr>
          <w:sz w:val="20"/>
          <w:szCs w:val="20"/>
          <w:lang w:val="en-GB"/>
        </w:rPr>
        <w:t xml:space="preserve">it </w:t>
      </w:r>
      <w:r w:rsidR="00A17878" w:rsidRPr="00104E5A">
        <w:rPr>
          <w:sz w:val="20"/>
          <w:szCs w:val="20"/>
          <w:lang w:val="en-GB"/>
        </w:rPr>
        <w:t xml:space="preserve">only comes from free-range pigs which have a specific diet and exercise routine. </w:t>
      </w:r>
      <w:r w:rsidRPr="00104E5A">
        <w:rPr>
          <w:sz w:val="20"/>
          <w:szCs w:val="20"/>
          <w:lang w:val="en-GB"/>
        </w:rPr>
        <w:t>However, today one may find a lot of products labelled as “</w:t>
      </w:r>
      <w:proofErr w:type="spellStart"/>
      <w:r w:rsidRPr="00104E5A">
        <w:rPr>
          <w:sz w:val="20"/>
          <w:szCs w:val="20"/>
          <w:lang w:val="en-GB"/>
        </w:rPr>
        <w:t>Jamón</w:t>
      </w:r>
      <w:proofErr w:type="spellEnd"/>
      <w:r w:rsidRPr="00104E5A">
        <w:rPr>
          <w:sz w:val="20"/>
          <w:szCs w:val="20"/>
          <w:lang w:val="en-GB"/>
        </w:rPr>
        <w:t xml:space="preserve"> de Bellota” that do not meet that description. Such products are, they say, of lower quality. </w:t>
      </w:r>
      <w:r w:rsidR="00A17878" w:rsidRPr="00104E5A">
        <w:rPr>
          <w:sz w:val="20"/>
          <w:szCs w:val="20"/>
          <w:lang w:val="en-GB"/>
        </w:rPr>
        <w:t>They argue that</w:t>
      </w:r>
      <w:r w:rsidRPr="00104E5A">
        <w:rPr>
          <w:sz w:val="20"/>
          <w:szCs w:val="20"/>
          <w:lang w:val="en-GB"/>
        </w:rPr>
        <w:t xml:space="preserve"> there is a need for national legislation establishing a legal definition of “</w:t>
      </w:r>
      <w:proofErr w:type="spellStart"/>
      <w:r w:rsidRPr="00104E5A">
        <w:rPr>
          <w:sz w:val="20"/>
          <w:szCs w:val="20"/>
          <w:lang w:val="en-GB"/>
        </w:rPr>
        <w:t>Jamón</w:t>
      </w:r>
      <w:proofErr w:type="spellEnd"/>
      <w:r w:rsidRPr="00104E5A">
        <w:rPr>
          <w:sz w:val="20"/>
          <w:szCs w:val="20"/>
          <w:lang w:val="en-GB"/>
        </w:rPr>
        <w:t xml:space="preserve"> de bellota,” because it would be the best way to </w:t>
      </w:r>
      <w:r w:rsidR="00215485" w:rsidRPr="00104E5A">
        <w:rPr>
          <w:sz w:val="20"/>
          <w:szCs w:val="20"/>
          <w:lang w:val="en-GB"/>
        </w:rPr>
        <w:t>improve the quality of the products</w:t>
      </w:r>
      <w:r w:rsidRPr="00104E5A">
        <w:rPr>
          <w:sz w:val="20"/>
          <w:szCs w:val="20"/>
          <w:lang w:val="en-GB"/>
        </w:rPr>
        <w:t xml:space="preserve"> available to final consumers</w:t>
      </w:r>
      <w:r w:rsidR="00215485" w:rsidRPr="00104E5A">
        <w:rPr>
          <w:sz w:val="20"/>
          <w:szCs w:val="20"/>
          <w:lang w:val="en-GB"/>
        </w:rPr>
        <w:t>.</w:t>
      </w:r>
    </w:p>
    <w:p w:rsidR="00A17878" w:rsidRPr="00104E5A" w:rsidRDefault="007023EB" w:rsidP="00A17878">
      <w:pPr>
        <w:jc w:val="both"/>
        <w:rPr>
          <w:sz w:val="20"/>
          <w:szCs w:val="20"/>
          <w:lang w:val="en-GB"/>
        </w:rPr>
      </w:pPr>
      <w:r w:rsidRPr="00104E5A">
        <w:rPr>
          <w:sz w:val="20"/>
          <w:szCs w:val="20"/>
          <w:lang w:val="en-GB"/>
        </w:rPr>
        <w:t>We</w:t>
      </w:r>
      <w:r w:rsidR="00A17878" w:rsidRPr="00104E5A">
        <w:rPr>
          <w:sz w:val="20"/>
          <w:szCs w:val="20"/>
          <w:lang w:val="en-GB"/>
        </w:rPr>
        <w:t xml:space="preserve"> have an important meeting on Friday with the Iberian Producers Association, which actually oppose such a measure. </w:t>
      </w:r>
      <w:r w:rsidRPr="00104E5A">
        <w:rPr>
          <w:sz w:val="20"/>
          <w:szCs w:val="20"/>
          <w:lang w:val="en-GB"/>
        </w:rPr>
        <w:t>We</w:t>
      </w:r>
      <w:r w:rsidR="00A17878" w:rsidRPr="00104E5A">
        <w:rPr>
          <w:sz w:val="20"/>
          <w:szCs w:val="20"/>
          <w:lang w:val="en-GB"/>
        </w:rPr>
        <w:t xml:space="preserve"> need your advice on my desk by Wednesday at the latest! </w:t>
      </w:r>
      <w:r w:rsidRPr="00104E5A">
        <w:rPr>
          <w:sz w:val="20"/>
          <w:szCs w:val="20"/>
          <w:lang w:val="en-GB"/>
        </w:rPr>
        <w:t>We</w:t>
      </w:r>
      <w:r w:rsidR="00A17878" w:rsidRPr="00104E5A">
        <w:rPr>
          <w:sz w:val="20"/>
          <w:szCs w:val="20"/>
          <w:lang w:val="en-GB"/>
        </w:rPr>
        <w:t>’d also like you to attend the meeting on Friday, so that we can discuss any open issues.</w:t>
      </w:r>
    </w:p>
    <w:p w:rsidR="00C532C4" w:rsidRPr="00104E5A" w:rsidRDefault="0069234A" w:rsidP="00A17878">
      <w:pPr>
        <w:jc w:val="both"/>
        <w:rPr>
          <w:sz w:val="20"/>
          <w:szCs w:val="20"/>
          <w:lang w:val="en-GB"/>
        </w:rPr>
      </w:pPr>
      <w:r w:rsidRPr="00104E5A">
        <w:rPr>
          <w:sz w:val="20"/>
          <w:szCs w:val="20"/>
          <w:lang w:val="en-GB"/>
        </w:rPr>
        <w:t xml:space="preserve">If the Spanish government decides to </w:t>
      </w:r>
      <w:r w:rsidR="00D96C40" w:rsidRPr="00104E5A">
        <w:rPr>
          <w:sz w:val="20"/>
          <w:szCs w:val="20"/>
          <w:lang w:val="en-GB"/>
        </w:rPr>
        <w:t xml:space="preserve">legislate on this issue, can </w:t>
      </w:r>
      <w:r w:rsidR="00087A02" w:rsidRPr="00104E5A">
        <w:rPr>
          <w:sz w:val="20"/>
          <w:szCs w:val="20"/>
          <w:lang w:val="en-GB"/>
        </w:rPr>
        <w:t>it</w:t>
      </w:r>
      <w:r w:rsidR="00D96C40" w:rsidRPr="00104E5A">
        <w:rPr>
          <w:sz w:val="20"/>
          <w:szCs w:val="20"/>
          <w:lang w:val="en-GB"/>
        </w:rPr>
        <w:t xml:space="preserve"> adopt a national law which mandates th</w:t>
      </w:r>
      <w:r w:rsidR="00C532C4" w:rsidRPr="00104E5A">
        <w:rPr>
          <w:sz w:val="20"/>
          <w:szCs w:val="20"/>
          <w:lang w:val="en-GB"/>
        </w:rPr>
        <w:t>e following:</w:t>
      </w:r>
    </w:p>
    <w:p w:rsidR="00A17878" w:rsidRPr="00104E5A" w:rsidRDefault="00C532C4" w:rsidP="00C532C4">
      <w:pPr>
        <w:ind w:left="708"/>
        <w:jc w:val="both"/>
        <w:rPr>
          <w:i/>
          <w:sz w:val="20"/>
          <w:szCs w:val="20"/>
          <w:lang w:val="en-GB"/>
        </w:rPr>
      </w:pPr>
      <w:r w:rsidRPr="00104E5A">
        <w:rPr>
          <w:i/>
          <w:sz w:val="20"/>
          <w:szCs w:val="20"/>
          <w:lang w:val="en-GB"/>
        </w:rPr>
        <w:t>A</w:t>
      </w:r>
      <w:r w:rsidR="00D96C40" w:rsidRPr="00104E5A">
        <w:rPr>
          <w:i/>
          <w:sz w:val="20"/>
          <w:szCs w:val="20"/>
          <w:lang w:val="en-GB"/>
        </w:rPr>
        <w:t>ll meat products marketed as “</w:t>
      </w:r>
      <w:proofErr w:type="spellStart"/>
      <w:r w:rsidR="00EC5128" w:rsidRPr="00104E5A">
        <w:rPr>
          <w:i/>
          <w:sz w:val="20"/>
          <w:szCs w:val="20"/>
          <w:lang w:val="en-GB"/>
        </w:rPr>
        <w:t>Jamón</w:t>
      </w:r>
      <w:proofErr w:type="spellEnd"/>
      <w:r w:rsidR="00EC5128" w:rsidRPr="00104E5A">
        <w:rPr>
          <w:i/>
          <w:sz w:val="20"/>
          <w:szCs w:val="20"/>
          <w:lang w:val="en-GB"/>
        </w:rPr>
        <w:t xml:space="preserve"> de bellota (acorn ham)</w:t>
      </w:r>
      <w:r w:rsidR="00D96C40" w:rsidRPr="00104E5A">
        <w:rPr>
          <w:i/>
          <w:sz w:val="20"/>
          <w:szCs w:val="20"/>
          <w:lang w:val="en-GB"/>
        </w:rPr>
        <w:t>” must derive exclusively from animals slaughtered immediately after fattening exclusively with acorns, grass and other natural resources f</w:t>
      </w:r>
      <w:r w:rsidR="00EC5128" w:rsidRPr="00104E5A">
        <w:rPr>
          <w:i/>
          <w:sz w:val="20"/>
          <w:szCs w:val="20"/>
          <w:lang w:val="en-GB"/>
        </w:rPr>
        <w:t>ound in</w:t>
      </w:r>
      <w:r w:rsidR="00D96C40" w:rsidRPr="00104E5A">
        <w:rPr>
          <w:sz w:val="20"/>
          <w:szCs w:val="20"/>
          <w:lang w:val="en-GB"/>
        </w:rPr>
        <w:t xml:space="preserve"> </w:t>
      </w:r>
      <w:r w:rsidR="00D96C40" w:rsidRPr="00104E5A">
        <w:rPr>
          <w:i/>
          <w:sz w:val="20"/>
          <w:szCs w:val="20"/>
          <w:lang w:val="en-GB"/>
        </w:rPr>
        <w:t>oak forests</w:t>
      </w:r>
      <w:r w:rsidRPr="00104E5A">
        <w:rPr>
          <w:i/>
          <w:sz w:val="20"/>
          <w:szCs w:val="20"/>
          <w:lang w:val="en-GB"/>
        </w:rPr>
        <w:t>.</w:t>
      </w:r>
    </w:p>
    <w:p w:rsidR="00EC5128" w:rsidRPr="00104E5A" w:rsidRDefault="00D96C40" w:rsidP="00A17878">
      <w:pPr>
        <w:jc w:val="both"/>
        <w:rPr>
          <w:sz w:val="20"/>
          <w:szCs w:val="20"/>
          <w:lang w:val="en-GB"/>
        </w:rPr>
      </w:pPr>
      <w:r w:rsidRPr="00104E5A">
        <w:rPr>
          <w:sz w:val="20"/>
          <w:szCs w:val="20"/>
          <w:lang w:val="en-GB"/>
        </w:rPr>
        <w:t xml:space="preserve">The producers association argues that this provision hinders free movements of goods in the European Union. Are they right? </w:t>
      </w:r>
      <w:r w:rsidR="00EC5128" w:rsidRPr="00104E5A">
        <w:rPr>
          <w:sz w:val="20"/>
          <w:szCs w:val="20"/>
          <w:lang w:val="en-GB"/>
        </w:rPr>
        <w:t xml:space="preserve">We are not very familiar with EU law, so please care to explain what the legal base is. </w:t>
      </w:r>
    </w:p>
    <w:p w:rsidR="00425ACF" w:rsidRPr="00104E5A" w:rsidRDefault="00F85B6E" w:rsidP="00A17878">
      <w:pPr>
        <w:jc w:val="both"/>
        <w:rPr>
          <w:sz w:val="20"/>
          <w:szCs w:val="20"/>
          <w:lang w:val="en-GB"/>
        </w:rPr>
      </w:pPr>
      <w:r w:rsidRPr="00104E5A">
        <w:rPr>
          <w:sz w:val="20"/>
          <w:szCs w:val="20"/>
          <w:lang w:val="en-GB"/>
        </w:rPr>
        <w:t xml:space="preserve">If </w:t>
      </w:r>
      <w:r w:rsidR="00EC5128" w:rsidRPr="00104E5A">
        <w:rPr>
          <w:sz w:val="20"/>
          <w:szCs w:val="20"/>
          <w:lang w:val="en-GB"/>
        </w:rPr>
        <w:t>they are right</w:t>
      </w:r>
      <w:r w:rsidRPr="00104E5A">
        <w:rPr>
          <w:sz w:val="20"/>
          <w:szCs w:val="20"/>
          <w:lang w:val="en-GB"/>
        </w:rPr>
        <w:t xml:space="preserve">, how can we improve the draft so that it complies with TFUE? </w:t>
      </w:r>
      <w:r w:rsidR="00425ACF" w:rsidRPr="00104E5A">
        <w:rPr>
          <w:sz w:val="20"/>
          <w:szCs w:val="20"/>
          <w:lang w:val="en-GB"/>
        </w:rPr>
        <w:t>Please argue your position and provide detailed legal base supporting your argument.</w:t>
      </w:r>
    </w:p>
    <w:p w:rsidR="00A17878" w:rsidRPr="00104E5A" w:rsidRDefault="00425ACF" w:rsidP="00A17878">
      <w:pPr>
        <w:jc w:val="both"/>
        <w:rPr>
          <w:sz w:val="20"/>
          <w:szCs w:val="20"/>
          <w:lang w:val="en-GB"/>
        </w:rPr>
      </w:pPr>
      <w:r w:rsidRPr="00104E5A">
        <w:rPr>
          <w:sz w:val="20"/>
          <w:szCs w:val="20"/>
          <w:lang w:val="en-GB"/>
        </w:rPr>
        <w:t xml:space="preserve">Additionally, </w:t>
      </w:r>
      <w:r w:rsidR="007023EB" w:rsidRPr="00104E5A">
        <w:rPr>
          <w:sz w:val="20"/>
          <w:szCs w:val="20"/>
          <w:lang w:val="en-GB"/>
        </w:rPr>
        <w:t>we</w:t>
      </w:r>
      <w:r w:rsidRPr="00104E5A">
        <w:rPr>
          <w:sz w:val="20"/>
          <w:szCs w:val="20"/>
          <w:lang w:val="en-GB"/>
        </w:rPr>
        <w:t xml:space="preserve"> wanted your opinion on a second issue. </w:t>
      </w:r>
      <w:r w:rsidR="0066788E" w:rsidRPr="00104E5A">
        <w:rPr>
          <w:sz w:val="20"/>
          <w:szCs w:val="20"/>
          <w:lang w:val="en-GB"/>
        </w:rPr>
        <w:t xml:space="preserve">The competent authority in Sevilla has just informed us they have identified some batches of </w:t>
      </w:r>
      <w:proofErr w:type="spellStart"/>
      <w:r w:rsidR="0066788E" w:rsidRPr="00104E5A">
        <w:rPr>
          <w:i/>
          <w:sz w:val="20"/>
          <w:szCs w:val="20"/>
          <w:lang w:val="en-GB"/>
        </w:rPr>
        <w:t>manchego</w:t>
      </w:r>
      <w:proofErr w:type="spellEnd"/>
      <w:r w:rsidR="0066788E" w:rsidRPr="00104E5A">
        <w:rPr>
          <w:i/>
          <w:sz w:val="20"/>
          <w:szCs w:val="20"/>
          <w:lang w:val="en-GB"/>
        </w:rPr>
        <w:t xml:space="preserve"> </w:t>
      </w:r>
      <w:r w:rsidR="0066788E" w:rsidRPr="00104E5A">
        <w:rPr>
          <w:sz w:val="20"/>
          <w:szCs w:val="20"/>
          <w:lang w:val="en-GB"/>
        </w:rPr>
        <w:t xml:space="preserve">cheese that has a strong smell and a dark brown colour. </w:t>
      </w:r>
      <w:r w:rsidR="00F42581" w:rsidRPr="00104E5A">
        <w:rPr>
          <w:sz w:val="20"/>
          <w:szCs w:val="20"/>
          <w:lang w:val="en-GB"/>
        </w:rPr>
        <w:t xml:space="preserve">They are uncertain about how to proceed,…should they consider the cheese is unsafe </w:t>
      </w:r>
      <w:r w:rsidR="00E86A45" w:rsidRPr="00104E5A">
        <w:rPr>
          <w:sz w:val="20"/>
          <w:szCs w:val="20"/>
          <w:lang w:val="en-GB"/>
        </w:rPr>
        <w:t>according to</w:t>
      </w:r>
      <w:r w:rsidR="00F42581" w:rsidRPr="00104E5A">
        <w:rPr>
          <w:sz w:val="20"/>
          <w:szCs w:val="20"/>
          <w:lang w:val="en-GB"/>
        </w:rPr>
        <w:t xml:space="preserve"> the General Food Law? </w:t>
      </w:r>
    </w:p>
    <w:p w:rsidR="00F42581" w:rsidRPr="00104E5A" w:rsidRDefault="00F42581" w:rsidP="00A17878">
      <w:pPr>
        <w:jc w:val="both"/>
        <w:rPr>
          <w:sz w:val="20"/>
          <w:szCs w:val="20"/>
          <w:lang w:val="en-GB"/>
        </w:rPr>
      </w:pPr>
      <w:r w:rsidRPr="00104E5A">
        <w:rPr>
          <w:sz w:val="20"/>
          <w:szCs w:val="20"/>
          <w:lang w:val="en-GB"/>
        </w:rPr>
        <w:t xml:space="preserve">I </w:t>
      </w:r>
      <w:r w:rsidR="00E86A45" w:rsidRPr="00104E5A">
        <w:rPr>
          <w:sz w:val="20"/>
          <w:szCs w:val="20"/>
          <w:lang w:val="en-GB"/>
        </w:rPr>
        <w:t>would appreciate your opinion on this</w:t>
      </w:r>
      <w:r w:rsidRPr="00104E5A">
        <w:rPr>
          <w:sz w:val="20"/>
          <w:szCs w:val="20"/>
          <w:lang w:val="en-GB"/>
        </w:rPr>
        <w:t xml:space="preserve">, the sooner the better and of course not later than Wednesday. Don’t forget to point out the legal base and the arguments that help you reach your conclusions. </w:t>
      </w:r>
    </w:p>
    <w:p w:rsidR="001E76D1" w:rsidRPr="00104E5A" w:rsidRDefault="00F42581" w:rsidP="00A17878">
      <w:pPr>
        <w:jc w:val="both"/>
        <w:rPr>
          <w:sz w:val="20"/>
          <w:szCs w:val="20"/>
          <w:lang w:val="en-GB"/>
        </w:rPr>
      </w:pPr>
      <w:r w:rsidRPr="00104E5A">
        <w:rPr>
          <w:sz w:val="20"/>
          <w:szCs w:val="20"/>
          <w:lang w:val="en-GB"/>
        </w:rPr>
        <w:t>Thank you!</w:t>
      </w:r>
    </w:p>
    <w:p w:rsidR="00F42581" w:rsidRPr="00104E5A" w:rsidRDefault="00F42581" w:rsidP="00A17878">
      <w:pPr>
        <w:jc w:val="both"/>
        <w:rPr>
          <w:sz w:val="20"/>
          <w:szCs w:val="20"/>
          <w:lang w:val="en-GB"/>
        </w:rPr>
      </w:pPr>
      <w:r w:rsidRPr="00104E5A">
        <w:rPr>
          <w:sz w:val="20"/>
          <w:szCs w:val="20"/>
          <w:lang w:val="en-GB"/>
        </w:rPr>
        <w:t>Dr Schebesta &amp; Dra Plana</w:t>
      </w:r>
    </w:p>
    <w:p w:rsidR="00350F4D" w:rsidRDefault="00F42581" w:rsidP="00A17878">
      <w:pPr>
        <w:jc w:val="both"/>
        <w:rPr>
          <w:sz w:val="20"/>
          <w:szCs w:val="20"/>
          <w:lang w:val="en-GB"/>
        </w:rPr>
      </w:pPr>
      <w:r w:rsidRPr="00104E5A">
        <w:rPr>
          <w:sz w:val="20"/>
          <w:szCs w:val="20"/>
          <w:lang w:val="en-GB"/>
        </w:rPr>
        <w:t>Ministers for Food and Agriculture</w:t>
      </w:r>
    </w:p>
    <w:p w:rsidR="00350F4D" w:rsidRDefault="00350F4D">
      <w:pPr>
        <w:rPr>
          <w:sz w:val="20"/>
          <w:szCs w:val="20"/>
          <w:lang w:val="en-GB"/>
        </w:rPr>
      </w:pPr>
      <w:r>
        <w:rPr>
          <w:sz w:val="20"/>
          <w:szCs w:val="20"/>
          <w:lang w:val="en-GB"/>
        </w:rPr>
        <w:br w:type="page"/>
      </w:r>
    </w:p>
    <w:p w:rsidR="00425ACF" w:rsidRPr="00104E5A" w:rsidRDefault="00425ACF" w:rsidP="00A17878">
      <w:pPr>
        <w:jc w:val="both"/>
        <w:rPr>
          <w:sz w:val="20"/>
          <w:szCs w:val="20"/>
          <w:lang w:val="en-GB"/>
        </w:rPr>
      </w:pPr>
    </w:p>
    <w:sectPr w:rsidR="00425ACF" w:rsidRPr="00104E5A" w:rsidSect="00857EC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5F5" w:rsidRDefault="006F55F5" w:rsidP="00FA282A">
      <w:pPr>
        <w:spacing w:after="0" w:line="240" w:lineRule="auto"/>
      </w:pPr>
      <w:r>
        <w:separator/>
      </w:r>
    </w:p>
  </w:endnote>
  <w:endnote w:type="continuationSeparator" w:id="0">
    <w:p w:rsidR="006F55F5" w:rsidRDefault="006F55F5" w:rsidP="00FA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5F5" w:rsidRDefault="006F55F5" w:rsidP="00FA282A">
      <w:pPr>
        <w:spacing w:after="0" w:line="240" w:lineRule="auto"/>
      </w:pPr>
      <w:r>
        <w:separator/>
      </w:r>
    </w:p>
  </w:footnote>
  <w:footnote w:type="continuationSeparator" w:id="0">
    <w:p w:rsidR="006F55F5" w:rsidRDefault="006F55F5" w:rsidP="00FA282A">
      <w:pPr>
        <w:spacing w:after="0" w:line="240" w:lineRule="auto"/>
      </w:pPr>
      <w:r>
        <w:continuationSeparator/>
      </w:r>
    </w:p>
  </w:footnote>
  <w:footnote w:id="1">
    <w:p w:rsidR="000239C9" w:rsidRPr="00BD3AC1" w:rsidRDefault="000239C9" w:rsidP="008A46B1">
      <w:pPr>
        <w:pStyle w:val="FootnoteText"/>
        <w:jc w:val="both"/>
        <w:rPr>
          <w:lang w:val="en-GB"/>
        </w:rPr>
      </w:pPr>
      <w:r>
        <w:rPr>
          <w:rStyle w:val="FootnoteReference"/>
        </w:rPr>
        <w:footnoteRef/>
      </w:r>
      <w:r w:rsidRPr="00BD3AC1">
        <w:rPr>
          <w:lang w:val="en-GB"/>
        </w:rPr>
        <w:t xml:space="preserve"> Art.2 of Reg. 764/2008:</w:t>
      </w:r>
    </w:p>
    <w:p w:rsidR="000239C9" w:rsidRPr="00BD3AC1" w:rsidRDefault="000239C9" w:rsidP="008A46B1">
      <w:pPr>
        <w:pStyle w:val="FootnoteText"/>
        <w:jc w:val="both"/>
        <w:rPr>
          <w:i/>
          <w:lang w:val="en-GB"/>
        </w:rPr>
      </w:pPr>
      <w:r w:rsidRPr="00BD3AC1">
        <w:rPr>
          <w:i/>
          <w:lang w:val="en-GB"/>
        </w:rPr>
        <w:t>For the purposes of this Regulation, a technical rule is any provision of a law, regulation or other administrative provision of a Member State:</w:t>
      </w:r>
    </w:p>
    <w:p w:rsidR="000239C9" w:rsidRPr="00BD3AC1" w:rsidRDefault="000239C9" w:rsidP="008A46B1">
      <w:pPr>
        <w:pStyle w:val="FootnoteText"/>
        <w:numPr>
          <w:ilvl w:val="0"/>
          <w:numId w:val="19"/>
        </w:numPr>
        <w:jc w:val="both"/>
        <w:rPr>
          <w:i/>
          <w:lang w:val="en-GB"/>
        </w:rPr>
      </w:pPr>
      <w:r w:rsidRPr="00BD3AC1">
        <w:rPr>
          <w:i/>
          <w:lang w:val="en-GB"/>
        </w:rPr>
        <w:t>which is not the subject of harmonisation at Community level; and</w:t>
      </w:r>
    </w:p>
    <w:p w:rsidR="000239C9" w:rsidRPr="00BD3AC1" w:rsidRDefault="000239C9" w:rsidP="008A46B1">
      <w:pPr>
        <w:pStyle w:val="FootnoteText"/>
        <w:numPr>
          <w:ilvl w:val="0"/>
          <w:numId w:val="19"/>
        </w:numPr>
        <w:jc w:val="both"/>
        <w:rPr>
          <w:i/>
          <w:lang w:val="en-GB"/>
        </w:rPr>
      </w:pPr>
      <w:r w:rsidRPr="00BD3AC1">
        <w:rPr>
          <w:i/>
          <w:lang w:val="en-GB"/>
        </w:rPr>
        <w:t>which prohibits the marketing of a product or type of product in the territory of that Member State or compliance with which is compulsory when a product or type of product is marketed in the territory of that Member State, and which lays down either:</w:t>
      </w:r>
    </w:p>
    <w:p w:rsidR="000239C9" w:rsidRPr="00BD3AC1" w:rsidRDefault="000239C9" w:rsidP="008A46B1">
      <w:pPr>
        <w:pStyle w:val="FootnoteText"/>
        <w:numPr>
          <w:ilvl w:val="0"/>
          <w:numId w:val="20"/>
        </w:numPr>
        <w:jc w:val="both"/>
        <w:rPr>
          <w:i/>
          <w:lang w:val="en-GB"/>
        </w:rPr>
      </w:pPr>
      <w:r w:rsidRPr="00BD3AC1">
        <w:rPr>
          <w:i/>
          <w:lang w:val="en-GB"/>
        </w:rPr>
        <w:t>the characteristics required of that product or type of product, such as levels of quality, performance or safety, or dimensions, including the requirements applicable to the product or product type as regards the name under which it is sold, terminology, symbols, testing and test methods, packaging, marking or labelling; or</w:t>
      </w:r>
    </w:p>
    <w:p w:rsidR="000239C9" w:rsidRPr="00BD3AC1" w:rsidRDefault="000239C9" w:rsidP="008A46B1">
      <w:pPr>
        <w:pStyle w:val="FootnoteText"/>
        <w:numPr>
          <w:ilvl w:val="0"/>
          <w:numId w:val="20"/>
        </w:numPr>
        <w:jc w:val="both"/>
        <w:rPr>
          <w:lang w:val="en-GB"/>
        </w:rPr>
      </w:pPr>
      <w:r w:rsidRPr="00BD3AC1">
        <w:rPr>
          <w:i/>
          <w:lang w:val="en-GB"/>
        </w:rPr>
        <w:t>any other requirement which is imposed on the product or type of product for the purposes of protecting consumers or the environment, and which affects the life-cycle of the product after it has been placed on the market, such as conditions of use, recycling, reuse or disposal, where such conditions can significantly influence the composition, nature or marketing of the product or type of product.</w:t>
      </w:r>
    </w:p>
  </w:footnote>
  <w:footnote w:id="2">
    <w:p w:rsidR="000239C9" w:rsidRPr="002C4ECA" w:rsidRDefault="000239C9">
      <w:pPr>
        <w:pStyle w:val="FootnoteText"/>
        <w:rPr>
          <w:lang w:val="en-GB"/>
        </w:rPr>
      </w:pPr>
      <w:r>
        <w:rPr>
          <w:rStyle w:val="FootnoteReference"/>
        </w:rPr>
        <w:footnoteRef/>
      </w:r>
      <w:r>
        <w:t xml:space="preserve"> Manchego </w:t>
      </w:r>
      <w:r>
        <w:t xml:space="preserve">Cheese PDO guidelines: </w:t>
      </w:r>
      <w:r w:rsidRPr="003633CF">
        <w:t>https://eur-lex.europa.eu/LexUriServ/LexUriServ.do?uri=OJ:C:2008:255:0010:0015:EN:PDF</w:t>
      </w:r>
    </w:p>
  </w:footnote>
  <w:footnote w:id="3">
    <w:p w:rsidR="006A4E2C" w:rsidRPr="006A4E2C" w:rsidRDefault="006A4E2C">
      <w:pPr>
        <w:pStyle w:val="FootnoteText"/>
        <w:rPr>
          <w:lang w:val="en-GB"/>
        </w:rPr>
      </w:pPr>
      <w:r>
        <w:rPr>
          <w:rStyle w:val="FootnoteReference"/>
        </w:rPr>
        <w:footnoteRef/>
      </w:r>
      <w:r w:rsidRPr="006A4E2C">
        <w:rPr>
          <w:lang w:val="en-GB"/>
        </w:rPr>
        <w:t xml:space="preserve"> FYI: Normally “de bellota” must go together with the mention of “</w:t>
      </w:r>
      <w:r w:rsidRPr="006A4E2C">
        <w:rPr>
          <w:lang w:val="en-GB"/>
        </w:rPr>
        <w:t>ibérico,” but this is not in the legal brief because not necessary to solve the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multilevel"/>
    <w:tmpl w:val="B26437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18D447E"/>
    <w:multiLevelType w:val="hybridMultilevel"/>
    <w:tmpl w:val="693C7A86"/>
    <w:lvl w:ilvl="0" w:tplc="22E046A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1671B1"/>
    <w:multiLevelType w:val="hybridMultilevel"/>
    <w:tmpl w:val="E154E2F0"/>
    <w:lvl w:ilvl="0" w:tplc="53B24B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97EC4"/>
    <w:multiLevelType w:val="hybridMultilevel"/>
    <w:tmpl w:val="DD885252"/>
    <w:lvl w:ilvl="0" w:tplc="01D0BF90">
      <w:start w:val="4"/>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839EB52A">
      <w:numFmt w:val="bullet"/>
      <w:lvlText w:val=""/>
      <w:lvlJc w:val="left"/>
      <w:pPr>
        <w:ind w:left="2160" w:hanging="360"/>
      </w:pPr>
      <w:rPr>
        <w:rFonts w:ascii="Wingdings" w:eastAsiaTheme="minorHAnsi" w:hAnsi="Wingdings"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B0961"/>
    <w:multiLevelType w:val="hybridMultilevel"/>
    <w:tmpl w:val="6448BC0A"/>
    <w:lvl w:ilvl="0" w:tplc="8890A5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5141D0"/>
    <w:multiLevelType w:val="hybridMultilevel"/>
    <w:tmpl w:val="EF8E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A62"/>
    <w:multiLevelType w:val="hybridMultilevel"/>
    <w:tmpl w:val="D16A545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1C72AD"/>
    <w:multiLevelType w:val="hybridMultilevel"/>
    <w:tmpl w:val="4E9AD1D8"/>
    <w:lvl w:ilvl="0" w:tplc="1B84F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445D1D"/>
    <w:multiLevelType w:val="hybridMultilevel"/>
    <w:tmpl w:val="C4385084"/>
    <w:lvl w:ilvl="0" w:tplc="07F81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0582B"/>
    <w:multiLevelType w:val="hybridMultilevel"/>
    <w:tmpl w:val="4034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061D5"/>
    <w:multiLevelType w:val="hybridMultilevel"/>
    <w:tmpl w:val="F56CBD62"/>
    <w:lvl w:ilvl="0" w:tplc="01D0BF90">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4FD553A9"/>
    <w:multiLevelType w:val="hybridMultilevel"/>
    <w:tmpl w:val="7214F20C"/>
    <w:lvl w:ilvl="0" w:tplc="01D0BF90">
      <w:start w:val="4"/>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64723B65"/>
    <w:multiLevelType w:val="hybridMultilevel"/>
    <w:tmpl w:val="8250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95339"/>
    <w:multiLevelType w:val="hybridMultilevel"/>
    <w:tmpl w:val="674640CE"/>
    <w:lvl w:ilvl="0" w:tplc="01D0BF9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3875ED"/>
    <w:multiLevelType w:val="hybridMultilevel"/>
    <w:tmpl w:val="7AE6539E"/>
    <w:lvl w:ilvl="0" w:tplc="08090001">
      <w:start w:val="1"/>
      <w:numFmt w:val="bullet"/>
      <w:lvlText w:val=""/>
      <w:lvlJc w:val="left"/>
      <w:pPr>
        <w:ind w:left="720" w:hanging="360"/>
      </w:pPr>
      <w:rPr>
        <w:rFonts w:ascii="Symbol" w:hAnsi="Symbol" w:hint="default"/>
      </w:rPr>
    </w:lvl>
    <w:lvl w:ilvl="1" w:tplc="5F385206">
      <w:numFmt w:val="bullet"/>
      <w:lvlText w:val="•"/>
      <w:lvlJc w:val="left"/>
      <w:pPr>
        <w:ind w:left="1785" w:hanging="705"/>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C3C50"/>
    <w:multiLevelType w:val="hybridMultilevel"/>
    <w:tmpl w:val="1862AFF4"/>
    <w:lvl w:ilvl="0" w:tplc="01D0BF90">
      <w:start w:val="4"/>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76BE1D3A"/>
    <w:multiLevelType w:val="hybridMultilevel"/>
    <w:tmpl w:val="4C3C2E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AB6B3F"/>
    <w:multiLevelType w:val="hybridMultilevel"/>
    <w:tmpl w:val="2E06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16"/>
  </w:num>
  <w:num w:numId="6">
    <w:abstractNumId w:val="7"/>
  </w:num>
  <w:num w:numId="7">
    <w:abstractNumId w:val="19"/>
  </w:num>
  <w:num w:numId="8">
    <w:abstractNumId w:val="11"/>
  </w:num>
  <w:num w:numId="9">
    <w:abstractNumId w:val="15"/>
  </w:num>
  <w:num w:numId="10">
    <w:abstractNumId w:val="12"/>
  </w:num>
  <w:num w:numId="11">
    <w:abstractNumId w:val="17"/>
  </w:num>
  <w:num w:numId="12">
    <w:abstractNumId w:val="5"/>
  </w:num>
  <w:num w:numId="13">
    <w:abstractNumId w:val="13"/>
  </w:num>
  <w:num w:numId="14">
    <w:abstractNumId w:val="2"/>
  </w:num>
  <w:num w:numId="15">
    <w:abstractNumId w:val="8"/>
  </w:num>
  <w:num w:numId="16">
    <w:abstractNumId w:val="8"/>
  </w:num>
  <w:num w:numId="17">
    <w:abstractNumId w:val="14"/>
  </w:num>
  <w:num w:numId="18">
    <w:abstractNumId w:val="10"/>
  </w:num>
  <w:num w:numId="19">
    <w:abstractNumId w:val="18"/>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78"/>
    <w:rsid w:val="000239C9"/>
    <w:rsid w:val="00057F3D"/>
    <w:rsid w:val="00080AD6"/>
    <w:rsid w:val="00087A02"/>
    <w:rsid w:val="00094515"/>
    <w:rsid w:val="000B4D15"/>
    <w:rsid w:val="000E3DA2"/>
    <w:rsid w:val="00104E5A"/>
    <w:rsid w:val="001266EB"/>
    <w:rsid w:val="00146539"/>
    <w:rsid w:val="00180C60"/>
    <w:rsid w:val="00187AD7"/>
    <w:rsid w:val="001B0F10"/>
    <w:rsid w:val="001E76D1"/>
    <w:rsid w:val="00212AC6"/>
    <w:rsid w:val="00215485"/>
    <w:rsid w:val="0025090F"/>
    <w:rsid w:val="002857C9"/>
    <w:rsid w:val="002B78A7"/>
    <w:rsid w:val="002C4ECA"/>
    <w:rsid w:val="002D3CAA"/>
    <w:rsid w:val="00350F4D"/>
    <w:rsid w:val="003633CF"/>
    <w:rsid w:val="003855D5"/>
    <w:rsid w:val="00391370"/>
    <w:rsid w:val="00400B45"/>
    <w:rsid w:val="00425ACF"/>
    <w:rsid w:val="004D2D61"/>
    <w:rsid w:val="00502200"/>
    <w:rsid w:val="00543AAD"/>
    <w:rsid w:val="00583E8E"/>
    <w:rsid w:val="005D7F2F"/>
    <w:rsid w:val="00663455"/>
    <w:rsid w:val="0066788E"/>
    <w:rsid w:val="006732DF"/>
    <w:rsid w:val="0069234A"/>
    <w:rsid w:val="00696B55"/>
    <w:rsid w:val="006A4E2C"/>
    <w:rsid w:val="006F55F5"/>
    <w:rsid w:val="007023EB"/>
    <w:rsid w:val="008330FE"/>
    <w:rsid w:val="00857EC1"/>
    <w:rsid w:val="00865D22"/>
    <w:rsid w:val="008A46B1"/>
    <w:rsid w:val="008C0DD2"/>
    <w:rsid w:val="008D72ED"/>
    <w:rsid w:val="00954B15"/>
    <w:rsid w:val="00A17878"/>
    <w:rsid w:val="00AB2B3A"/>
    <w:rsid w:val="00AB3DB6"/>
    <w:rsid w:val="00AD5322"/>
    <w:rsid w:val="00BB7E3E"/>
    <w:rsid w:val="00BD3AC1"/>
    <w:rsid w:val="00C04348"/>
    <w:rsid w:val="00C532C4"/>
    <w:rsid w:val="00C633C8"/>
    <w:rsid w:val="00C87C19"/>
    <w:rsid w:val="00CD5FAB"/>
    <w:rsid w:val="00D62402"/>
    <w:rsid w:val="00D819FD"/>
    <w:rsid w:val="00D96C40"/>
    <w:rsid w:val="00DC3B8B"/>
    <w:rsid w:val="00DF15CC"/>
    <w:rsid w:val="00E57C5C"/>
    <w:rsid w:val="00E86A45"/>
    <w:rsid w:val="00EA400C"/>
    <w:rsid w:val="00EC5128"/>
    <w:rsid w:val="00F211D1"/>
    <w:rsid w:val="00F3175D"/>
    <w:rsid w:val="00F42581"/>
    <w:rsid w:val="00F72D55"/>
    <w:rsid w:val="00F85B6E"/>
    <w:rsid w:val="00FA282A"/>
    <w:rsid w:val="00FC6477"/>
    <w:rsid w:val="00FE055F"/>
    <w:rsid w:val="00FF0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1CDCD-BC1A-4213-A762-9D41119C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878"/>
    <w:rPr>
      <w:color w:val="0563C1" w:themeColor="hyperlink"/>
      <w:u w:val="single"/>
    </w:rPr>
  </w:style>
  <w:style w:type="character" w:customStyle="1" w:styleId="Mencinsinresolver1">
    <w:name w:val="Mención sin resolver1"/>
    <w:basedOn w:val="DefaultParagraphFont"/>
    <w:uiPriority w:val="99"/>
    <w:semiHidden/>
    <w:unhideWhenUsed/>
    <w:rsid w:val="00A17878"/>
    <w:rPr>
      <w:color w:val="605E5C"/>
      <w:shd w:val="clear" w:color="auto" w:fill="E1DFDD"/>
    </w:rPr>
  </w:style>
  <w:style w:type="paragraph" w:styleId="ListParagraph">
    <w:name w:val="List Paragraph"/>
    <w:basedOn w:val="Normal"/>
    <w:uiPriority w:val="34"/>
    <w:qFormat/>
    <w:rsid w:val="00C532C4"/>
    <w:pPr>
      <w:ind w:left="720"/>
      <w:contextualSpacing/>
    </w:pPr>
  </w:style>
  <w:style w:type="paragraph" w:styleId="Header">
    <w:name w:val="header"/>
    <w:basedOn w:val="Normal"/>
    <w:link w:val="HeaderChar"/>
    <w:uiPriority w:val="99"/>
    <w:unhideWhenUsed/>
    <w:rsid w:val="00FA282A"/>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282A"/>
  </w:style>
  <w:style w:type="paragraph" w:styleId="Footer">
    <w:name w:val="footer"/>
    <w:basedOn w:val="Normal"/>
    <w:link w:val="FooterChar"/>
    <w:uiPriority w:val="99"/>
    <w:unhideWhenUsed/>
    <w:rsid w:val="00FA282A"/>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282A"/>
  </w:style>
  <w:style w:type="paragraph" w:styleId="FootnoteText">
    <w:name w:val="footnote text"/>
    <w:basedOn w:val="Normal"/>
    <w:link w:val="FootnoteTextChar"/>
    <w:uiPriority w:val="99"/>
    <w:semiHidden/>
    <w:unhideWhenUsed/>
    <w:rsid w:val="002C4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ECA"/>
    <w:rPr>
      <w:sz w:val="20"/>
      <w:szCs w:val="20"/>
    </w:rPr>
  </w:style>
  <w:style w:type="character" w:styleId="FootnoteReference">
    <w:name w:val="footnote reference"/>
    <w:basedOn w:val="DefaultParagraphFont"/>
    <w:uiPriority w:val="99"/>
    <w:semiHidden/>
    <w:unhideWhenUsed/>
    <w:rsid w:val="002C4ECA"/>
    <w:rPr>
      <w:vertAlign w:val="superscript"/>
    </w:rPr>
  </w:style>
  <w:style w:type="character" w:customStyle="1" w:styleId="UnresolvedMention1">
    <w:name w:val="Unresolved Mention1"/>
    <w:basedOn w:val="DefaultParagraphFont"/>
    <w:uiPriority w:val="99"/>
    <w:semiHidden/>
    <w:unhideWhenUsed/>
    <w:rsid w:val="00146539"/>
    <w:rPr>
      <w:color w:val="605E5C"/>
      <w:shd w:val="clear" w:color="auto" w:fill="E1DFDD"/>
    </w:rPr>
  </w:style>
  <w:style w:type="character" w:styleId="FollowedHyperlink">
    <w:name w:val="FollowedHyperlink"/>
    <w:basedOn w:val="DefaultParagraphFont"/>
    <w:uiPriority w:val="99"/>
    <w:semiHidden/>
    <w:unhideWhenUsed/>
    <w:rsid w:val="001465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25569">
      <w:bodyDiv w:val="1"/>
      <w:marLeft w:val="0"/>
      <w:marRight w:val="0"/>
      <w:marTop w:val="0"/>
      <w:marBottom w:val="0"/>
      <w:divBdr>
        <w:top w:val="none" w:sz="0" w:space="0" w:color="auto"/>
        <w:left w:val="none" w:sz="0" w:space="0" w:color="auto"/>
        <w:bottom w:val="none" w:sz="0" w:space="0" w:color="auto"/>
        <w:right w:val="none" w:sz="0" w:space="0" w:color="auto"/>
      </w:divBdr>
    </w:div>
    <w:div w:id="10275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galCounsel@foodconsult.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buscar/act.php?id=BOE-A-2014-318&amp;p=20160611&amp;tn=1" TargetMode="External"/><Relationship Id="rId5" Type="http://schemas.openxmlformats.org/officeDocument/2006/relationships/webSettings" Target="webSettings.xml"/><Relationship Id="rId10" Type="http://schemas.openxmlformats.org/officeDocument/2006/relationships/hyperlink" Target="http://curia.europa.eu/juris/document/document.jsf?text=bellota&amp;docid=202942&amp;pageIndex=0&amp;doclang=EN&amp;mode=req&amp;dir=&amp;occ=first&amp;part=1&amp;cid=1958502"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8DA1-98D4-4BF3-9B0F-716CFCF4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EE77495C.dotm</Template>
  <TotalTime>0</TotalTime>
  <Pages>9</Pages>
  <Words>2907</Words>
  <Characters>15989</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 plana</dc:creator>
  <cp:keywords/>
  <dc:description/>
  <cp:lastModifiedBy>Schebesta, Hanna</cp:lastModifiedBy>
  <cp:revision>2</cp:revision>
  <dcterms:created xsi:type="dcterms:W3CDTF">2020-12-01T13:17:00Z</dcterms:created>
  <dcterms:modified xsi:type="dcterms:W3CDTF">2020-12-01T13:17:00Z</dcterms:modified>
</cp:coreProperties>
</file>